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F1667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000ED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F1667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A000ED">
        <w:rPr>
          <w:b/>
          <w:bCs/>
          <w:color w:val="000000"/>
        </w:rPr>
        <w:t>35</w:t>
      </w:r>
      <w:r>
        <w:rPr>
          <w:b/>
          <w:bCs/>
          <w:color w:val="000000"/>
        </w:rPr>
        <w:t>.</w:t>
      </w:r>
      <w:bookmarkStart w:id="0" w:name="_GoBack"/>
      <w:bookmarkEnd w:id="0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000ED" w:rsidP="002A417A">
            <w:pPr>
              <w:rPr>
                <w:color w:val="000000"/>
                <w:sz w:val="20"/>
              </w:rPr>
            </w:pPr>
            <w:r w:rsidRPr="00A000ED">
              <w:rPr>
                <w:color w:val="000000"/>
                <w:sz w:val="20"/>
              </w:rPr>
              <w:t>879 457,04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F166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F1667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A000ED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A000ED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000ED" w:rsidP="002A417A">
            <w:pPr>
              <w:rPr>
                <w:color w:val="000000"/>
                <w:sz w:val="20"/>
                <w:szCs w:val="20"/>
              </w:rPr>
            </w:pPr>
            <w:r w:rsidRPr="00A000ED">
              <w:rPr>
                <w:color w:val="000000"/>
                <w:sz w:val="20"/>
                <w:szCs w:val="20"/>
              </w:rPr>
              <w:t>327,7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80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склад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000E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Кирпич, металл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790D82"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809C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2809C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2809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подхода. Методические указания о государственной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2809C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2809C6">
              <w:rPr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809C6">
              <w:rPr>
                <w:color w:val="000000"/>
                <w:sz w:val="20"/>
                <w:szCs w:val="20"/>
              </w:rPr>
              <w:t>27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Здания ангарного типа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proofErr w:type="spellStart"/>
            <w:r w:rsidR="003B6CC7">
              <w:rPr>
                <w:color w:val="000000"/>
              </w:rPr>
              <w:t>Кожокар</w:t>
            </w:r>
            <w:proofErr w:type="spellEnd"/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1667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00ED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B87A-C9DE-4BFE-AD59-79569C9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122</cp:revision>
  <cp:lastPrinted>2019-11-19T05:07:00Z</cp:lastPrinted>
  <dcterms:created xsi:type="dcterms:W3CDTF">2019-11-19T05:25:00Z</dcterms:created>
  <dcterms:modified xsi:type="dcterms:W3CDTF">2021-01-18T13:16:00Z</dcterms:modified>
</cp:coreProperties>
</file>