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EB7D16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DA206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87F76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</w:t>
            </w:r>
            <w:r w:rsidR="00EB7D16"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6B458B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A2068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6B458B" w:rsidRPr="006B458B">
        <w:rPr>
          <w:b/>
          <w:bCs/>
          <w:color w:val="000000"/>
        </w:rPr>
        <w:t>57:25:0020601:139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458B" w:rsidP="002A417A">
            <w:pPr>
              <w:rPr>
                <w:color w:val="000000"/>
                <w:sz w:val="20"/>
              </w:rPr>
            </w:pPr>
            <w:r w:rsidRPr="006B458B">
              <w:rPr>
                <w:color w:val="000000"/>
                <w:sz w:val="20"/>
              </w:rPr>
              <w:t>757</w:t>
            </w:r>
            <w:r>
              <w:rPr>
                <w:color w:val="000000"/>
                <w:sz w:val="20"/>
              </w:rPr>
              <w:t xml:space="preserve"> </w:t>
            </w:r>
            <w:r w:rsidRPr="006B458B">
              <w:rPr>
                <w:color w:val="000000"/>
                <w:sz w:val="20"/>
              </w:rPr>
              <w:t>098,42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A206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DA2068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EB7D16" w:rsidRDefault="00EB7D16" w:rsidP="008943A5">
      <w:pPr>
        <w:spacing w:after="120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6C0656" w:rsidP="00E7553F">
            <w:pPr>
              <w:rPr>
                <w:color w:val="000000"/>
                <w:sz w:val="20"/>
                <w:szCs w:val="20"/>
              </w:rPr>
            </w:pPr>
            <w:r w:rsidRPr="006C0656">
              <w:rPr>
                <w:bCs/>
                <w:color w:val="000000"/>
                <w:sz w:val="20"/>
                <w:szCs w:val="20"/>
              </w:rPr>
              <w:t>57:25:0020601:139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095A1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Орел, пер. Пищевой, д. 14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 w:rsidRPr="006C0656">
              <w:rPr>
                <w:color w:val="000000"/>
                <w:sz w:val="20"/>
                <w:szCs w:val="20"/>
              </w:rPr>
              <w:t>162,7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24014" w:rsidP="005E6E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 № 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24014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данных, этаж расположения - 1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C045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b/>
          <w:color w:val="000000"/>
        </w:rPr>
      </w:pPr>
    </w:p>
    <w:p w:rsidR="00EB7D16" w:rsidRDefault="00EB7D16" w:rsidP="00122EAC">
      <w:pPr>
        <w:jc w:val="both"/>
        <w:rPr>
          <w:b/>
          <w:color w:val="000000"/>
        </w:rPr>
      </w:pPr>
    </w:p>
    <w:p w:rsidR="00EB7D16" w:rsidRDefault="00EB7D16" w:rsidP="00122EAC">
      <w:pPr>
        <w:jc w:val="both"/>
        <w:rPr>
          <w:b/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EB7D16">
        <w:rPr>
          <w:b/>
          <w:color w:val="000000"/>
        </w:rPr>
        <w:lastRenderedPageBreak/>
        <w:t>2.</w:t>
      </w:r>
      <w:r w:rsidRPr="00D06F1D">
        <w:rPr>
          <w:color w:val="000000"/>
        </w:rPr>
        <w:t>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EB7D16" w:rsidP="00DA46EA">
            <w:pPr>
              <w:jc w:val="both"/>
              <w:rPr>
                <w:sz w:val="20"/>
              </w:rPr>
            </w:pPr>
            <w:r w:rsidRPr="00EB7D16">
              <w:rPr>
                <w:sz w:val="20"/>
              </w:rPr>
              <w:t>Сегмент "Нежилая недвижимость"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EB7D16" w:rsidP="00EB7D16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EB7D16">
              <w:rPr>
                <w:sz w:val="20"/>
              </w:rPr>
              <w:t>Рынок нежилой 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</w:t>
            </w:r>
            <w:r>
              <w:rPr>
                <w:sz w:val="20"/>
              </w:rPr>
              <w:t xml:space="preserve"> Рынок производственно-складской недвижимости малоподвижный. </w:t>
            </w:r>
            <w:r w:rsidRPr="00EB7D16">
              <w:rPr>
                <w:sz w:val="20"/>
              </w:rPr>
              <w:t xml:space="preserve">Производственные объекты недвижимости мало востребованы по своему прямому назначению и чаще всего используются под склады. </w:t>
            </w:r>
            <w:r w:rsidR="001561F6">
              <w:rPr>
                <w:sz w:val="20"/>
                <w:szCs w:val="20"/>
              </w:rPr>
              <w:t>Как правило,</w:t>
            </w:r>
            <w:r w:rsidR="0059049A" w:rsidRPr="0059049A">
              <w:rPr>
                <w:sz w:val="20"/>
                <w:szCs w:val="20"/>
              </w:rPr>
              <w:t xml:space="preserve"> такая недвижимость располагается в удалении от центра</w:t>
            </w:r>
            <w:r w:rsidR="001561F6">
              <w:rPr>
                <w:sz w:val="20"/>
                <w:szCs w:val="20"/>
              </w:rPr>
              <w:t>льных частей города, имеет умеренную транспортную доступность и все необходимые коммуникации</w:t>
            </w:r>
            <w:r w:rsidR="009567DE">
              <w:rPr>
                <w:sz w:val="20"/>
                <w:szCs w:val="20"/>
              </w:rPr>
              <w:t xml:space="preserve">. Полная характеристика данного сегмента рынка представлена в п. 4.3.10.2.3  </w:t>
            </w:r>
            <w:r w:rsidR="009567DE" w:rsidRPr="009567DE">
              <w:rPr>
                <w:sz w:val="20"/>
              </w:rPr>
              <w:t>Отчета об итогах государственной кадастровой оценки Том 1</w:t>
            </w:r>
            <w:r w:rsidR="009567DE" w:rsidRPr="009567DE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BF497B">
        <w:trPr>
          <w:trHeight w:val="35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BF497B" w:rsidP="00F56D77">
            <w:pPr>
              <w:jc w:val="both"/>
              <w:rPr>
                <w:color w:val="000000"/>
                <w:sz w:val="20"/>
              </w:rPr>
            </w:pPr>
            <w:r w:rsidRPr="00BF497B">
              <w:rPr>
                <w:color w:val="000000"/>
                <w:sz w:val="20"/>
              </w:rPr>
              <w:t>Ценовое зонирование для нежилой недвижимости не проводилось.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2"/>
        <w:gridCol w:w="3118"/>
        <w:gridCol w:w="4358"/>
      </w:tblGrid>
      <w:tr w:rsidR="00B6216E" w:rsidRPr="00F15EF5" w:rsidTr="00EB7D16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B7D1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_Материал стен КС</w:t>
            </w:r>
            <w:r w:rsidR="00B6216E"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B001D1" w:rsidP="007E4C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  <w:r w:rsidR="006053FF">
              <w:rPr>
                <w:color w:val="000000"/>
                <w:sz w:val="20"/>
                <w:szCs w:val="20"/>
              </w:rPr>
              <w:t xml:space="preserve"> (ввиду отсутствия в перечне Росреестра данных о материале стен, класс конструктивной системы (КС) определялся как наиболее вероятный для объекта с конкре</w:t>
            </w:r>
            <w:r w:rsidR="007E4C30">
              <w:rPr>
                <w:color w:val="000000"/>
                <w:sz w:val="20"/>
                <w:szCs w:val="20"/>
              </w:rPr>
              <w:t>тным функциональным назначением)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Default="00B6216E" w:rsidP="00DC24D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</w:t>
            </w:r>
            <w:r w:rsidR="00DC24D8">
              <w:rPr>
                <w:color w:val="000000"/>
                <w:sz w:val="20"/>
                <w:szCs w:val="20"/>
              </w:rPr>
              <w:t>Значения ЦФ для ОКС\ЦФ 7 группа</w:t>
            </w:r>
          </w:p>
          <w:p w:rsidR="00594C70" w:rsidRPr="00DC24D8" w:rsidRDefault="00594C70" w:rsidP="00201FE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201FEF">
              <w:rPr>
                <w:color w:val="000000"/>
                <w:sz w:val="20"/>
                <w:szCs w:val="20"/>
              </w:rPr>
              <w:t>Пункт</w:t>
            </w:r>
            <w:r w:rsidRPr="007E4C30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 xml:space="preserve">1.1.1.1.1. Определение класса конструктивной системы объектов оценки, </w:t>
            </w:r>
            <w:r w:rsidR="00332D8B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>Том 3</w:t>
            </w:r>
            <w:r w:rsidRPr="007E4C30">
              <w:rPr>
                <w:sz w:val="20"/>
                <w:szCs w:val="20"/>
              </w:rPr>
              <w:t xml:space="preserve">  </w:t>
            </w:r>
            <w:r w:rsidRPr="007E4C30">
              <w:rPr>
                <w:sz w:val="20"/>
              </w:rPr>
              <w:t>Отчета об итогах государственной кадастровой оценки</w:t>
            </w:r>
            <w:r w:rsidRPr="007E4C30">
              <w:rPr>
                <w:sz w:val="20"/>
                <w:szCs w:val="20"/>
              </w:rPr>
              <w:t xml:space="preserve">, стр. </w:t>
            </w:r>
            <w:r w:rsidR="00CB680F" w:rsidRPr="007E4C30">
              <w:rPr>
                <w:sz w:val="20"/>
                <w:szCs w:val="20"/>
              </w:rPr>
              <w:t>7-9</w:t>
            </w:r>
          </w:p>
        </w:tc>
      </w:tr>
      <w:tr w:rsidR="00FB2CAC" w:rsidRPr="00F15EF5" w:rsidTr="00EB7D16">
        <w:trPr>
          <w:trHeight w:val="88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F15EF5" w:rsidRDefault="00FB2C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</w:t>
            </w:r>
            <w:r w:rsidR="00146357">
              <w:rPr>
                <w:color w:val="000000"/>
                <w:sz w:val="20"/>
                <w:szCs w:val="20"/>
              </w:rPr>
              <w:t xml:space="preserve">как уровень детализации расположения объекта недвижимости </w:t>
            </w:r>
            <w:r>
              <w:rPr>
                <w:color w:val="000000"/>
                <w:sz w:val="20"/>
                <w:szCs w:val="20"/>
              </w:rPr>
              <w:t>при выборе способа расчета</w:t>
            </w:r>
            <w:r w:rsidR="00C728AC">
              <w:rPr>
                <w:color w:val="000000"/>
                <w:sz w:val="20"/>
                <w:szCs w:val="20"/>
              </w:rPr>
              <w:t xml:space="preserve"> методом моделирования 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C728A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="00455D7D">
              <w:rPr>
                <w:color w:val="000000"/>
                <w:sz w:val="20"/>
                <w:szCs w:val="20"/>
              </w:rPr>
              <w:t>: по зданию, по кварталу, по населенному пункту</w:t>
            </w:r>
            <w:r w:rsidR="008453C6">
              <w:rPr>
                <w:color w:val="000000"/>
                <w:sz w:val="20"/>
                <w:szCs w:val="20"/>
              </w:rPr>
              <w:t xml:space="preserve"> и т.д.</w:t>
            </w:r>
            <w:r>
              <w:rPr>
                <w:color w:val="000000"/>
                <w:sz w:val="20"/>
                <w:szCs w:val="20"/>
              </w:rPr>
              <w:t>)</w:t>
            </w:r>
            <w:r w:rsidR="005B04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550D20" w:rsidRDefault="00720EAB" w:rsidP="003D36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связи</w:t>
            </w:r>
            <w:r w:rsidR="00146357">
              <w:rPr>
                <w:color w:val="000000"/>
                <w:sz w:val="20"/>
                <w:szCs w:val="20"/>
              </w:rPr>
              <w:t xml:space="preserve"> с отсутствием </w:t>
            </w:r>
            <w:r w:rsidR="00A14F10">
              <w:rPr>
                <w:color w:val="000000"/>
                <w:sz w:val="20"/>
                <w:szCs w:val="20"/>
              </w:rPr>
              <w:t xml:space="preserve">данных в Перечне Росреестра о </w:t>
            </w:r>
            <w:r w:rsidR="00146357">
              <w:rPr>
                <w:color w:val="000000"/>
                <w:sz w:val="20"/>
                <w:szCs w:val="20"/>
              </w:rPr>
              <w:t>родительско</w:t>
            </w:r>
            <w:r w:rsidR="00A14F10">
              <w:rPr>
                <w:color w:val="000000"/>
                <w:sz w:val="20"/>
                <w:szCs w:val="20"/>
              </w:rPr>
              <w:t>м</w:t>
            </w:r>
            <w:r w:rsidR="00146357">
              <w:rPr>
                <w:color w:val="000000"/>
                <w:sz w:val="20"/>
                <w:szCs w:val="20"/>
              </w:rPr>
              <w:t xml:space="preserve"> объект</w:t>
            </w:r>
            <w:r w:rsidR="00A14F10">
              <w:rPr>
                <w:color w:val="000000"/>
                <w:sz w:val="20"/>
                <w:szCs w:val="20"/>
              </w:rPr>
              <w:t>е</w:t>
            </w:r>
            <w:r w:rsidR="00446FE3">
              <w:rPr>
                <w:color w:val="000000"/>
                <w:sz w:val="20"/>
                <w:szCs w:val="20"/>
              </w:rPr>
              <w:t xml:space="preserve"> (кадастровом номере</w:t>
            </w:r>
            <w:r w:rsidR="00455D7D">
              <w:rPr>
                <w:color w:val="000000"/>
                <w:sz w:val="20"/>
                <w:szCs w:val="20"/>
              </w:rPr>
              <w:t xml:space="preserve"> здания, в котором находится помещение)</w:t>
            </w:r>
            <w:r w:rsidR="00146357">
              <w:rPr>
                <w:color w:val="000000"/>
                <w:sz w:val="20"/>
                <w:szCs w:val="20"/>
              </w:rPr>
              <w:t xml:space="preserve">, расположение объекта оценки </w:t>
            </w:r>
            <w:r w:rsidR="00C728AC">
              <w:rPr>
                <w:color w:val="000000"/>
                <w:sz w:val="20"/>
                <w:szCs w:val="20"/>
              </w:rPr>
              <w:t xml:space="preserve">для целей расчета методом УПКС </w:t>
            </w:r>
            <w:r w:rsidR="00146357">
              <w:rPr>
                <w:color w:val="000000"/>
                <w:sz w:val="20"/>
                <w:szCs w:val="20"/>
              </w:rPr>
              <w:t xml:space="preserve">определено </w:t>
            </w:r>
            <w:r w:rsidR="00A14F10">
              <w:rPr>
                <w:color w:val="000000"/>
                <w:sz w:val="20"/>
                <w:szCs w:val="20"/>
              </w:rPr>
              <w:t>до уровня кадастрового квартала</w:t>
            </w:r>
            <w:r w:rsidR="00157507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455D7D" w:rsidRDefault="00FB2CAC" w:rsidP="00455D7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Отчет о ГКО Орловская область\</w:t>
            </w:r>
            <w:r w:rsidR="00455D7D"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 xml:space="preserve">. </w:t>
            </w:r>
            <w:r w:rsidR="00455D7D">
              <w:rPr>
                <w:color w:val="000000"/>
                <w:sz w:val="20"/>
                <w:szCs w:val="20"/>
              </w:rPr>
              <w:t>Исходные данные</w:t>
            </w:r>
            <w:r w:rsidRPr="00F02EA1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1.3</w:t>
            </w:r>
            <w:r w:rsidRPr="00F02EA1">
              <w:rPr>
                <w:color w:val="000000"/>
                <w:sz w:val="20"/>
                <w:szCs w:val="20"/>
              </w:rPr>
              <w:t xml:space="preserve"> </w:t>
            </w:r>
            <w:r w:rsidR="00455D7D">
              <w:rPr>
                <w:color w:val="000000"/>
                <w:sz w:val="20"/>
                <w:szCs w:val="20"/>
              </w:rPr>
              <w:t xml:space="preserve">Перечень ОН, </w:t>
            </w:r>
            <w:proofErr w:type="spellStart"/>
            <w:r w:rsidR="00455D7D">
              <w:rPr>
                <w:color w:val="000000"/>
                <w:sz w:val="20"/>
                <w:szCs w:val="20"/>
              </w:rPr>
              <w:t>подлеж</w:t>
            </w:r>
            <w:proofErr w:type="spellEnd"/>
            <w:r w:rsidR="00455D7D">
              <w:rPr>
                <w:color w:val="000000"/>
                <w:sz w:val="20"/>
                <w:szCs w:val="20"/>
              </w:rPr>
              <w:t>. ГКО</w:t>
            </w:r>
            <w:r w:rsidR="00DC24D8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Текстовая часть перечня</w:t>
            </w:r>
            <w:r w:rsidR="00455D7D">
              <w:rPr>
                <w:color w:val="000000"/>
                <w:sz w:val="20"/>
                <w:szCs w:val="20"/>
                <w:lang w:val="en-US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ОКС_Текстовая часть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728AC" w:rsidP="00107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Сравнительный</w:t>
            </w:r>
            <w:r w:rsidR="005B043F">
              <w:rPr>
                <w:color w:val="000000"/>
                <w:sz w:val="20"/>
                <w:szCs w:val="20"/>
              </w:rPr>
              <w:t xml:space="preserve">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="00107F36">
              <w:rPr>
                <w:color w:val="000000"/>
                <w:sz w:val="20"/>
                <w:szCs w:val="20"/>
              </w:rPr>
              <w:t xml:space="preserve">как наиболее точный с учетом имеющейся информации и особенностей определения </w:t>
            </w:r>
            <w:r w:rsidR="00107F36">
              <w:rPr>
                <w:color w:val="000000"/>
                <w:sz w:val="20"/>
                <w:szCs w:val="20"/>
              </w:rPr>
              <w:lastRenderedPageBreak/>
              <w:t>кадастровой стоимости входящих в него методов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07F3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5B043F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 xml:space="preserve">Применен метод моделирования </w:t>
            </w:r>
            <w:r w:rsidR="006E2BCC">
              <w:rPr>
                <w:color w:val="000000"/>
                <w:sz w:val="20"/>
                <w:szCs w:val="20"/>
              </w:rPr>
              <w:t xml:space="preserve">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6E2BC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Pr="004435FD">
              <w:rPr>
                <w:color w:val="000000"/>
                <w:sz w:val="20"/>
                <w:szCs w:val="20"/>
              </w:rPr>
              <w:t xml:space="preserve">. </w:t>
            </w:r>
            <w:r w:rsidR="005B043F">
              <w:rPr>
                <w:color w:val="000000"/>
                <w:sz w:val="20"/>
                <w:szCs w:val="20"/>
              </w:rPr>
              <w:t>Применение других методов сравнительного подхода не представляется возможным в силу недостаточного количества информации в данном сегменте рынка.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3D364C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6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5F4F47">
              <w:rPr>
                <w:color w:val="000000"/>
                <w:sz w:val="20"/>
                <w:szCs w:val="20"/>
              </w:rPr>
              <w:t>2</w:t>
            </w:r>
            <w:r w:rsidR="00E90194">
              <w:rPr>
                <w:color w:val="000000"/>
                <w:sz w:val="20"/>
                <w:szCs w:val="20"/>
              </w:rPr>
              <w:t>3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E90194">
              <w:rPr>
                <w:color w:val="000000"/>
                <w:sz w:val="20"/>
                <w:szCs w:val="20"/>
              </w:rPr>
              <w:t>Складские здания кроме ангаров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9A0FE5" w:rsidRDefault="009D55BF" w:rsidP="009A0FE5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</w:t>
            </w:r>
            <w:r w:rsidR="008A0687">
              <w:rPr>
                <w:color w:val="000000"/>
                <w:sz w:val="20"/>
                <w:szCs w:val="20"/>
              </w:rPr>
              <w:t xml:space="preserve">       </w:t>
            </w:r>
            <w:r w:rsidRPr="00C87930">
              <w:rPr>
                <w:color w:val="000000"/>
                <w:sz w:val="20"/>
                <w:szCs w:val="20"/>
              </w:rPr>
              <w:t xml:space="preserve">3. Определение </w:t>
            </w:r>
            <w:r w:rsidR="00E90194">
              <w:rPr>
                <w:color w:val="000000"/>
                <w:sz w:val="20"/>
                <w:szCs w:val="20"/>
              </w:rPr>
              <w:t>расположения объекта недвижимости</w:t>
            </w:r>
            <w:r w:rsidR="00142D63">
              <w:rPr>
                <w:color w:val="000000"/>
                <w:sz w:val="20"/>
                <w:szCs w:val="20"/>
              </w:rPr>
              <w:t xml:space="preserve"> </w:t>
            </w:r>
            <w:r w:rsidR="00E90194">
              <w:rPr>
                <w:color w:val="000000"/>
                <w:sz w:val="20"/>
                <w:szCs w:val="20"/>
              </w:rPr>
              <w:t>(</w:t>
            </w:r>
            <w:r w:rsidR="00B43BD8">
              <w:rPr>
                <w:color w:val="000000"/>
                <w:sz w:val="20"/>
                <w:szCs w:val="20"/>
              </w:rPr>
              <w:t>в связи с отсутствием родительского объекта</w:t>
            </w:r>
            <w:r w:rsidR="00BA3560">
              <w:rPr>
                <w:color w:val="000000"/>
                <w:sz w:val="20"/>
                <w:szCs w:val="20"/>
              </w:rPr>
              <w:t xml:space="preserve"> – до уровня кадастрового квартала)</w:t>
            </w:r>
            <w:r w:rsidRPr="00C87930">
              <w:rPr>
                <w:color w:val="000000"/>
                <w:sz w:val="20"/>
                <w:szCs w:val="20"/>
              </w:rPr>
              <w:t xml:space="preserve">; 4. Определение </w:t>
            </w:r>
            <w:r w:rsidR="00142D63">
              <w:rPr>
                <w:color w:val="000000"/>
                <w:sz w:val="20"/>
                <w:szCs w:val="20"/>
              </w:rPr>
              <w:t>среднего значения УПКС объектов недвижимости</w:t>
            </w:r>
            <w:r w:rsidR="00BA3560">
              <w:rPr>
                <w:color w:val="000000"/>
                <w:sz w:val="20"/>
                <w:szCs w:val="20"/>
              </w:rPr>
              <w:t xml:space="preserve">, имеющих сходство по виду использования групп (подгрупп) объектов недвижимости, существующих в пределах кадастрового квартала, в котором расположен объект недвижимости. </w:t>
            </w:r>
            <w:r w:rsidRPr="00C87930">
              <w:rPr>
                <w:color w:val="000000"/>
                <w:sz w:val="20"/>
                <w:szCs w:val="20"/>
              </w:rPr>
              <w:t xml:space="preserve">5. Определение </w:t>
            </w:r>
            <w:r w:rsidR="009A0FE5">
              <w:rPr>
                <w:color w:val="000000"/>
                <w:sz w:val="20"/>
                <w:szCs w:val="20"/>
              </w:rPr>
              <w:t>кадастровой стоимости объекта недвижимости путем умножения среднего значения УПКС объектов недвижимости, схожих по виду использования групп (подгрупп) объектов недвижимости по кадастровому кварталу, на его площадь. В рамках данного метода средние значения УПКС определяются с учетом известных характеристик объекта недвижимости (материал стен, этажность, год постройки, местоположение).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54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547A0">
              <w:rPr>
                <w:color w:val="000000"/>
              </w:rPr>
              <w:t>Е.Н. 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  <w:tr w:rsidR="00361AC4" w:rsidTr="009C0451">
        <w:tc>
          <w:tcPr>
            <w:tcW w:w="3227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361AC4" w:rsidRPr="004C2EC4" w:rsidTr="009C0451">
        <w:tc>
          <w:tcPr>
            <w:tcW w:w="3227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AC4" w:rsidRPr="004C2EC4" w:rsidRDefault="00361AC4" w:rsidP="009C045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</w:tr>
    </w:tbl>
    <w:p w:rsidR="00361AC4" w:rsidRDefault="00361AC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4C39F5">
        <w:tc>
          <w:tcPr>
            <w:tcW w:w="3794" w:type="dxa"/>
          </w:tcPr>
          <w:p w:rsidR="00122EAC" w:rsidRDefault="004C39F5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4C39F5" w:rsidP="004C39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/И.И</w:t>
            </w:r>
            <w:r w:rsidR="00122EAC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Кожокар</w:t>
            </w:r>
            <w:proofErr w:type="spellEnd"/>
            <w:r w:rsidR="00122EAC">
              <w:rPr>
                <w:color w:val="000000"/>
              </w:rPr>
              <w:t>/</w:t>
            </w:r>
          </w:p>
        </w:tc>
      </w:tr>
      <w:tr w:rsidR="00122EAC" w:rsidTr="004C39F5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122EAC" w:rsidP="001B2532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sectPr w:rsidR="00726253" w:rsidRPr="001B2532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07F36"/>
    <w:rsid w:val="00114168"/>
    <w:rsid w:val="00122EAC"/>
    <w:rsid w:val="00136D19"/>
    <w:rsid w:val="00142D63"/>
    <w:rsid w:val="00146357"/>
    <w:rsid w:val="001561F6"/>
    <w:rsid w:val="00157507"/>
    <w:rsid w:val="00176381"/>
    <w:rsid w:val="0018125E"/>
    <w:rsid w:val="00185FF3"/>
    <w:rsid w:val="00187F76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01FEF"/>
    <w:rsid w:val="00230F7B"/>
    <w:rsid w:val="00231953"/>
    <w:rsid w:val="0024126F"/>
    <w:rsid w:val="00246599"/>
    <w:rsid w:val="0024741E"/>
    <w:rsid w:val="002474EA"/>
    <w:rsid w:val="002526B3"/>
    <w:rsid w:val="00267685"/>
    <w:rsid w:val="00272938"/>
    <w:rsid w:val="00274845"/>
    <w:rsid w:val="002853C3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32D8B"/>
    <w:rsid w:val="00346FAB"/>
    <w:rsid w:val="003521F0"/>
    <w:rsid w:val="00357C0C"/>
    <w:rsid w:val="00361AC4"/>
    <w:rsid w:val="00370445"/>
    <w:rsid w:val="0038070A"/>
    <w:rsid w:val="00396C15"/>
    <w:rsid w:val="003A4D06"/>
    <w:rsid w:val="003B2C98"/>
    <w:rsid w:val="003C2FB7"/>
    <w:rsid w:val="003C41D5"/>
    <w:rsid w:val="003C492C"/>
    <w:rsid w:val="003D364C"/>
    <w:rsid w:val="003E510D"/>
    <w:rsid w:val="0040522D"/>
    <w:rsid w:val="00426DE7"/>
    <w:rsid w:val="00431F89"/>
    <w:rsid w:val="00442917"/>
    <w:rsid w:val="004435FD"/>
    <w:rsid w:val="00446FE3"/>
    <w:rsid w:val="00455D7D"/>
    <w:rsid w:val="004759CC"/>
    <w:rsid w:val="004779A6"/>
    <w:rsid w:val="00490356"/>
    <w:rsid w:val="00493D24"/>
    <w:rsid w:val="00493F97"/>
    <w:rsid w:val="00495E7E"/>
    <w:rsid w:val="004A490F"/>
    <w:rsid w:val="004C330C"/>
    <w:rsid w:val="004C39F5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94C70"/>
    <w:rsid w:val="005A0502"/>
    <w:rsid w:val="005B043F"/>
    <w:rsid w:val="005D0458"/>
    <w:rsid w:val="005D581D"/>
    <w:rsid w:val="005D75E5"/>
    <w:rsid w:val="005E6EC1"/>
    <w:rsid w:val="005F4F47"/>
    <w:rsid w:val="00604DF6"/>
    <w:rsid w:val="006053FF"/>
    <w:rsid w:val="00627A1B"/>
    <w:rsid w:val="0063101E"/>
    <w:rsid w:val="006348FD"/>
    <w:rsid w:val="0065353D"/>
    <w:rsid w:val="00656058"/>
    <w:rsid w:val="00662AD2"/>
    <w:rsid w:val="00662EC8"/>
    <w:rsid w:val="0066733E"/>
    <w:rsid w:val="00667D8B"/>
    <w:rsid w:val="00683B73"/>
    <w:rsid w:val="00693DB6"/>
    <w:rsid w:val="006A3FC4"/>
    <w:rsid w:val="006A645C"/>
    <w:rsid w:val="006B17D2"/>
    <w:rsid w:val="006B458B"/>
    <w:rsid w:val="006C0656"/>
    <w:rsid w:val="006C6800"/>
    <w:rsid w:val="006D0B3D"/>
    <w:rsid w:val="006E2BCC"/>
    <w:rsid w:val="006E67AD"/>
    <w:rsid w:val="006F0499"/>
    <w:rsid w:val="006F567A"/>
    <w:rsid w:val="00713F1D"/>
    <w:rsid w:val="00720EAB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4C30"/>
    <w:rsid w:val="007E71C4"/>
    <w:rsid w:val="007F7806"/>
    <w:rsid w:val="00806FA4"/>
    <w:rsid w:val="008128E2"/>
    <w:rsid w:val="00824014"/>
    <w:rsid w:val="00842CCA"/>
    <w:rsid w:val="0084480C"/>
    <w:rsid w:val="008453C6"/>
    <w:rsid w:val="00856211"/>
    <w:rsid w:val="008572E8"/>
    <w:rsid w:val="00863182"/>
    <w:rsid w:val="00873C54"/>
    <w:rsid w:val="00874EA5"/>
    <w:rsid w:val="008943A5"/>
    <w:rsid w:val="008A0687"/>
    <w:rsid w:val="008A0F90"/>
    <w:rsid w:val="008D2583"/>
    <w:rsid w:val="008F0185"/>
    <w:rsid w:val="008F3A23"/>
    <w:rsid w:val="009301E2"/>
    <w:rsid w:val="009567DE"/>
    <w:rsid w:val="0097743B"/>
    <w:rsid w:val="009806B3"/>
    <w:rsid w:val="009A0FE5"/>
    <w:rsid w:val="009A370D"/>
    <w:rsid w:val="009B20E7"/>
    <w:rsid w:val="009C0451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14F10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E6226"/>
    <w:rsid w:val="00AF29F1"/>
    <w:rsid w:val="00AF5C7A"/>
    <w:rsid w:val="00B001D1"/>
    <w:rsid w:val="00B05F7D"/>
    <w:rsid w:val="00B17FDF"/>
    <w:rsid w:val="00B23088"/>
    <w:rsid w:val="00B40CB3"/>
    <w:rsid w:val="00B42FB7"/>
    <w:rsid w:val="00B43BD8"/>
    <w:rsid w:val="00B547A0"/>
    <w:rsid w:val="00B54E46"/>
    <w:rsid w:val="00B6131F"/>
    <w:rsid w:val="00B6216E"/>
    <w:rsid w:val="00B73DFF"/>
    <w:rsid w:val="00B80689"/>
    <w:rsid w:val="00BA0BFF"/>
    <w:rsid w:val="00BA3560"/>
    <w:rsid w:val="00BF497B"/>
    <w:rsid w:val="00C312BC"/>
    <w:rsid w:val="00C40528"/>
    <w:rsid w:val="00C71114"/>
    <w:rsid w:val="00C728AC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B680F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71B5A"/>
    <w:rsid w:val="00D80D72"/>
    <w:rsid w:val="00D83E19"/>
    <w:rsid w:val="00D93623"/>
    <w:rsid w:val="00D942B3"/>
    <w:rsid w:val="00DA2068"/>
    <w:rsid w:val="00DA46EA"/>
    <w:rsid w:val="00DB2FA2"/>
    <w:rsid w:val="00DC063D"/>
    <w:rsid w:val="00DC1821"/>
    <w:rsid w:val="00DC24D8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24240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856F1"/>
    <w:rsid w:val="00E90194"/>
    <w:rsid w:val="00E971EE"/>
    <w:rsid w:val="00EA5EDB"/>
    <w:rsid w:val="00EB7D16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B2CAC"/>
    <w:rsid w:val="00FC3446"/>
    <w:rsid w:val="00FD1794"/>
    <w:rsid w:val="00FE25F7"/>
    <w:rsid w:val="00FE3177"/>
    <w:rsid w:val="00FE40C0"/>
    <w:rsid w:val="00FF15A1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BA0C6-BFFB-4BB2-8DC7-DD443E67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136</cp:revision>
  <cp:lastPrinted>2019-11-19T05:07:00Z</cp:lastPrinted>
  <dcterms:created xsi:type="dcterms:W3CDTF">2019-11-19T05:25:00Z</dcterms:created>
  <dcterms:modified xsi:type="dcterms:W3CDTF">2021-01-18T13:10:00Z</dcterms:modified>
</cp:coreProperties>
</file>