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336B26" w:rsidRDefault="00336B26" w:rsidP="009518D3">
                  <w:pPr>
                    <w:jc w:val="center"/>
                    <w:rPr>
                      <w:sz w:val="18"/>
                      <w:lang w:val="en-US"/>
                    </w:rPr>
                  </w:pPr>
                  <w:proofErr w:type="spellStart"/>
                  <w:r>
                    <w:rPr>
                      <w:sz w:val="18"/>
                      <w:szCs w:val="22"/>
                      <w:lang w:val="en-US"/>
                    </w:rPr>
                    <w:t>октября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Pr="00B55C2B" w:rsidRDefault="00B55C2B" w:rsidP="00584776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336B26" w:rsidRDefault="00336B26" w:rsidP="001B6D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19</w:t>
            </w:r>
            <w:r w:rsidR="001B6D33">
              <w:rPr>
                <w:b/>
                <w:bCs/>
                <w:color w:val="000000"/>
                <w:sz w:val="24"/>
                <w:lang w:val="en-US"/>
              </w:rPr>
              <w:t>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84776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B6D33" w:rsidRPr="001B6D33">
        <w:rPr>
          <w:color w:val="000000"/>
        </w:rPr>
        <w:t>25</w:t>
      </w:r>
      <w:r w:rsidRPr="00D06F1D">
        <w:rPr>
          <w:color w:val="000000"/>
        </w:rPr>
        <w:t>.</w:t>
      </w:r>
      <w:r w:rsidR="001B6D33" w:rsidRPr="001B6D33">
        <w:rPr>
          <w:color w:val="000000"/>
        </w:rPr>
        <w:t>09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="001B6D33" w:rsidRPr="001B6D33">
        <w:rPr>
          <w:color w:val="000000"/>
        </w:rPr>
        <w:t xml:space="preserve"> 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2A5CC7">
        <w:rPr>
          <w:b/>
          <w:bCs/>
          <w:color w:val="000000"/>
        </w:rPr>
        <w:t>10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CB1979">
        <w:rPr>
          <w:b/>
          <w:bCs/>
          <w:color w:val="000000"/>
        </w:rPr>
        <w:t>70101</w:t>
      </w:r>
      <w:r w:rsidR="00B55C2B" w:rsidRPr="00B55C2B">
        <w:rPr>
          <w:b/>
          <w:bCs/>
          <w:color w:val="000000"/>
        </w:rPr>
        <w:t>:</w:t>
      </w:r>
      <w:r w:rsidR="001B6D33" w:rsidRPr="001B6D33">
        <w:rPr>
          <w:b/>
          <w:bCs/>
          <w:color w:val="000000"/>
        </w:rPr>
        <w:t>1950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84776" w:rsidRDefault="00B303E2" w:rsidP="00B303E2">
            <w:pPr>
              <w:rPr>
                <w:color w:val="000000"/>
                <w:sz w:val="20"/>
              </w:rPr>
            </w:pPr>
            <w:r w:rsidRPr="00584776">
              <w:rPr>
                <w:color w:val="000000"/>
                <w:sz w:val="20"/>
              </w:rPr>
              <w:t>894</w:t>
            </w:r>
            <w:r>
              <w:rPr>
                <w:color w:val="000000"/>
                <w:sz w:val="20"/>
                <w:lang w:val="en-US"/>
              </w:rPr>
              <w:t> </w:t>
            </w:r>
            <w:r w:rsidRPr="00584776">
              <w:rPr>
                <w:color w:val="000000"/>
                <w:sz w:val="20"/>
              </w:rPr>
              <w:t>630,0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84776" w:rsidP="002A417A">
            <w:pPr>
              <w:rPr>
                <w:color w:val="000000"/>
                <w:sz w:val="20"/>
              </w:rPr>
            </w:pPr>
            <w:hyperlink r:id="rId10" w:history="1">
              <w:r w:rsidR="00D829DC" w:rsidRPr="00D80300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sz w:val="20"/>
                <w:szCs w:val="20"/>
              </w:rPr>
              <w:t>Инспекция Федеральной налоговой службы по г.</w:t>
            </w:r>
            <w:r w:rsidR="006E7808">
              <w:rPr>
                <w:sz w:val="20"/>
                <w:szCs w:val="20"/>
              </w:rPr>
              <w:t xml:space="preserve"> </w:t>
            </w:r>
            <w:r w:rsidRPr="00CB1979">
              <w:rPr>
                <w:sz w:val="20"/>
                <w:szCs w:val="20"/>
              </w:rPr>
              <w:t>Орлу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877338" w:rsidRPr="00CB1979">
              <w:rPr>
                <w:color w:val="000000"/>
                <w:sz w:val="20"/>
                <w:szCs w:val="20"/>
              </w:rPr>
              <w:t>302025 г. Орёл, Московское шоссе, д. 119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1D1CB9" w:rsidRPr="00CB1979">
              <w:rPr>
                <w:color w:val="000000"/>
                <w:sz w:val="20"/>
                <w:szCs w:val="20"/>
              </w:rPr>
              <w:t xml:space="preserve">тел. </w:t>
            </w:r>
            <w:r w:rsidR="00877338" w:rsidRPr="00CB1979">
              <w:rPr>
                <w:color w:val="000000"/>
                <w:sz w:val="20"/>
                <w:szCs w:val="20"/>
              </w:rPr>
              <w:t>8-800-222-22-22</w:t>
            </w:r>
          </w:p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color w:val="000000"/>
                <w:sz w:val="20"/>
                <w:szCs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303E2" w:rsidRDefault="00FD321B" w:rsidP="00B303E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57:10:0070101:</w:t>
            </w:r>
            <w:r w:rsidR="00B303E2">
              <w:rPr>
                <w:color w:val="000000"/>
                <w:sz w:val="20"/>
                <w:szCs w:val="20"/>
                <w:lang w:val="en-US"/>
              </w:rPr>
              <w:t>1950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303E2" w:rsidP="00074B89">
            <w:pPr>
              <w:jc w:val="both"/>
              <w:rPr>
                <w:color w:val="000000"/>
                <w:sz w:val="20"/>
                <w:szCs w:val="20"/>
              </w:rPr>
            </w:pPr>
            <w:r w:rsidRPr="00B303E2">
              <w:rPr>
                <w:color w:val="000000"/>
                <w:sz w:val="20"/>
                <w:szCs w:val="20"/>
              </w:rPr>
              <w:t xml:space="preserve">Орловская область, Орловский район, </w:t>
            </w:r>
            <w:proofErr w:type="spellStart"/>
            <w:r w:rsidRPr="00B303E2">
              <w:rPr>
                <w:color w:val="000000"/>
                <w:sz w:val="20"/>
                <w:szCs w:val="20"/>
              </w:rPr>
              <w:t>Большекуликовское</w:t>
            </w:r>
            <w:proofErr w:type="spellEnd"/>
            <w:r w:rsidRPr="00B303E2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303E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303E2">
              <w:rPr>
                <w:color w:val="000000"/>
                <w:sz w:val="20"/>
                <w:szCs w:val="20"/>
              </w:rPr>
              <w:t>, в районе д. Малая Куликовка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78" w:rsidRPr="00860285" w:rsidRDefault="00E95A91" w:rsidP="00860285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Объект расположен</w:t>
            </w:r>
            <w:r>
              <w:rPr>
                <w:sz w:val="20"/>
                <w:szCs w:val="20"/>
              </w:rPr>
              <w:t xml:space="preserve"> в</w:t>
            </w:r>
            <w:r w:rsidR="00860285" w:rsidRPr="00860285">
              <w:rPr>
                <w:sz w:val="20"/>
                <w:szCs w:val="20"/>
              </w:rPr>
              <w:t xml:space="preserve">близи границ населенного пункта </w:t>
            </w:r>
            <w:r w:rsidR="009D4678" w:rsidRPr="009D4678">
              <w:rPr>
                <w:sz w:val="20"/>
                <w:szCs w:val="20"/>
              </w:rPr>
              <w:t xml:space="preserve">– д. </w:t>
            </w:r>
            <w:r w:rsidR="00860285" w:rsidRPr="00860285">
              <w:rPr>
                <w:sz w:val="20"/>
                <w:szCs w:val="20"/>
              </w:rPr>
              <w:t>Малая Куликовка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. Одной стороной земельный участок граничит с лесополосой, за которой проходит железная дорога направлением Орел </w:t>
            </w:r>
            <w:r w:rsidR="009D4678">
              <w:rPr>
                <w:color w:val="000000"/>
                <w:sz w:val="20"/>
                <w:szCs w:val="20"/>
              </w:rPr>
              <w:t>–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 Ливны </w:t>
            </w:r>
            <w:r w:rsidR="009D4678">
              <w:rPr>
                <w:color w:val="000000"/>
                <w:sz w:val="20"/>
                <w:szCs w:val="20"/>
              </w:rPr>
              <w:t>–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4678" w:rsidRPr="009D4678"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 w:rsidR="009D4678" w:rsidRPr="009D4678">
              <w:rPr>
                <w:color w:val="000000"/>
                <w:sz w:val="20"/>
                <w:szCs w:val="20"/>
              </w:rPr>
              <w:t xml:space="preserve">, другой стороной – с автодорогой </w:t>
            </w:r>
            <w:r w:rsidR="009D4678" w:rsidRPr="00E95A91">
              <w:rPr>
                <w:sz w:val="20"/>
                <w:szCs w:val="20"/>
              </w:rPr>
              <w:t xml:space="preserve">регионального значения </w:t>
            </w:r>
            <w:r w:rsidR="009D4678" w:rsidRPr="00F47F73">
              <w:rPr>
                <w:color w:val="000000"/>
                <w:sz w:val="20"/>
                <w:szCs w:val="20"/>
              </w:rPr>
              <w:t>Р-119 Орел-Тамбов</w:t>
            </w:r>
            <w:r w:rsidR="009D4678" w:rsidRPr="009D4678">
              <w:rPr>
                <w:color w:val="000000"/>
                <w:sz w:val="20"/>
                <w:szCs w:val="20"/>
              </w:rPr>
              <w:t>.</w:t>
            </w:r>
            <w:r w:rsidR="00860285" w:rsidRPr="00860285">
              <w:rPr>
                <w:color w:val="000000"/>
                <w:sz w:val="20"/>
                <w:szCs w:val="20"/>
              </w:rPr>
              <w:t xml:space="preserve"> Вблизи </w:t>
            </w:r>
            <w:proofErr w:type="spellStart"/>
            <w:r w:rsidR="00860285" w:rsidRPr="00860285">
              <w:rPr>
                <w:color w:val="000000"/>
                <w:sz w:val="20"/>
                <w:szCs w:val="20"/>
              </w:rPr>
              <w:t>учавстка</w:t>
            </w:r>
            <w:proofErr w:type="spellEnd"/>
            <w:r w:rsidR="00860285" w:rsidRPr="00860285">
              <w:rPr>
                <w:color w:val="000000"/>
                <w:sz w:val="20"/>
                <w:szCs w:val="20"/>
              </w:rPr>
              <w:t xml:space="preserve"> </w:t>
            </w:r>
            <w:r w:rsidR="009D4678" w:rsidRPr="00F47F73">
              <w:rPr>
                <w:color w:val="000000"/>
                <w:sz w:val="20"/>
                <w:szCs w:val="20"/>
              </w:rPr>
              <w:t>–</w:t>
            </w:r>
            <w:r w:rsidR="00860285" w:rsidRPr="00860285">
              <w:rPr>
                <w:color w:val="000000"/>
                <w:sz w:val="20"/>
                <w:szCs w:val="20"/>
              </w:rPr>
              <w:t xml:space="preserve"> </w:t>
            </w:r>
            <w:r w:rsidR="009D4678" w:rsidRPr="00860285">
              <w:rPr>
                <w:color w:val="000000"/>
                <w:sz w:val="20"/>
                <w:szCs w:val="20"/>
              </w:rPr>
              <w:t>зона индивидуальной жилой застройки</w:t>
            </w:r>
            <w:r w:rsidR="00860285" w:rsidRPr="00860285">
              <w:rPr>
                <w:color w:val="000000"/>
                <w:sz w:val="20"/>
                <w:szCs w:val="20"/>
              </w:rPr>
              <w:t>, торговый объект – сетевой магазин “Пятерочка”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195279" w:rsidP="003F05C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3000</w:t>
            </w:r>
            <w:r w:rsidR="00A45E11">
              <w:rPr>
                <w:sz w:val="20"/>
                <w:szCs w:val="20"/>
                <w:lang w:val="en-US"/>
              </w:rPr>
              <w:t>,0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95279" w:rsidP="00DC3C8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31C39">
              <w:rPr>
                <w:sz w:val="20"/>
              </w:rPr>
              <w:t>Земли промышленности, энергетики, транспорта, 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F5" w:rsidRPr="00A75BF5" w:rsidRDefault="003405E2" w:rsidP="00DC3C8B">
            <w:pPr>
              <w:jc w:val="both"/>
              <w:rPr>
                <w:sz w:val="20"/>
                <w:szCs w:val="20"/>
              </w:rPr>
            </w:pPr>
            <w:r w:rsidRPr="003405E2">
              <w:rPr>
                <w:sz w:val="20"/>
                <w:szCs w:val="20"/>
              </w:rPr>
              <w:t>Для размещения объектов торговли</w:t>
            </w:r>
            <w:r w:rsidR="00A75BF5" w:rsidRPr="00A75BF5">
              <w:rPr>
                <w:sz w:val="20"/>
                <w:szCs w:val="20"/>
              </w:rPr>
              <w:t>;</w:t>
            </w:r>
          </w:p>
          <w:p w:rsidR="00122EAC" w:rsidRPr="00A75BF5" w:rsidRDefault="00A75BF5" w:rsidP="00DC3C8B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3405E2" w:rsidRPr="00887B7F">
              <w:rPr>
                <w:sz w:val="20"/>
              </w:rPr>
              <w:t>Для размещения площадки под хранение и торговлю строительными материалами</w:t>
            </w:r>
          </w:p>
        </w:tc>
      </w:tr>
      <w:tr w:rsidR="00122EAC" w:rsidRPr="008E10C2" w:rsidTr="000D43D5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D43D5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D43D5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Публичных обременений (ограничений), которые должны учитываться при </w:t>
            </w:r>
            <w:r>
              <w:rPr>
                <w:color w:val="000000"/>
                <w:sz w:val="20"/>
                <w:szCs w:val="20"/>
              </w:rPr>
              <w:lastRenderedPageBreak/>
              <w:t>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3C8B" w:rsidRDefault="00DC3C8B" w:rsidP="00122EAC">
      <w:pPr>
        <w:jc w:val="both"/>
        <w:rPr>
          <w:color w:val="000000"/>
        </w:rPr>
      </w:pPr>
    </w:p>
    <w:p w:rsidR="00DC3C8B" w:rsidRDefault="00DC3C8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  <w:lang w:val="en-US"/>
        </w:rPr>
      </w:pPr>
      <w:r w:rsidRPr="00D06F1D">
        <w:rPr>
          <w:color w:val="000000"/>
        </w:rPr>
        <w:t>2.2. О рынке недвижимости:</w:t>
      </w:r>
    </w:p>
    <w:p w:rsidR="00EF35F6" w:rsidRPr="00EF35F6" w:rsidRDefault="00EF35F6" w:rsidP="00122EAC">
      <w:pPr>
        <w:jc w:val="both"/>
        <w:rPr>
          <w:color w:val="00000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E57FBC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Pr="00584776" w:rsidRDefault="00122EAC" w:rsidP="00122EAC"/>
    <w:p w:rsidR="00E60114" w:rsidRPr="00584776" w:rsidRDefault="00E60114" w:rsidP="00122EAC"/>
    <w:p w:rsidR="00892924" w:rsidRPr="00584776" w:rsidRDefault="00892924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EF35F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EC" w:rsidRPr="00EF35F6" w:rsidRDefault="00EF35F6" w:rsidP="0059126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EC" w:rsidRPr="00EF35F6" w:rsidRDefault="00EF35F6" w:rsidP="00BC4BA3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BA" w:rsidRPr="00A214BA" w:rsidRDefault="00EF35F6" w:rsidP="00B34A4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EC" w:rsidRPr="00EF35F6" w:rsidRDefault="00EF35F6" w:rsidP="00E665B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3855C7" w:rsidRDefault="003855C7" w:rsidP="00F275B9">
      <w:pPr>
        <w:jc w:val="both"/>
        <w:rPr>
          <w:color w:val="000000"/>
          <w:lang w:val="en-US"/>
        </w:rPr>
      </w:pPr>
    </w:p>
    <w:p w:rsidR="00892924" w:rsidRDefault="00892924" w:rsidP="00F275B9">
      <w:pPr>
        <w:jc w:val="both"/>
        <w:rPr>
          <w:color w:val="000000"/>
          <w:lang w:val="en-US"/>
        </w:rPr>
      </w:pPr>
    </w:p>
    <w:p w:rsidR="00EF35F6" w:rsidRPr="00EF35F6" w:rsidRDefault="00EF35F6" w:rsidP="00F275B9">
      <w:pPr>
        <w:jc w:val="both"/>
        <w:rPr>
          <w:color w:val="000000"/>
        </w:rPr>
      </w:pPr>
      <w:r w:rsidRPr="00EF35F6">
        <w:rPr>
          <w:color w:val="000000"/>
        </w:rPr>
        <w:t xml:space="preserve">В связи с расположением земельного участка вне территории населенного пункта, </w:t>
      </w:r>
      <w:proofErr w:type="spellStart"/>
      <w:r w:rsidRPr="00EF35F6">
        <w:rPr>
          <w:color w:val="000000"/>
        </w:rPr>
        <w:t>ценообразующие</w:t>
      </w:r>
      <w:proofErr w:type="spellEnd"/>
      <w:r w:rsidRPr="00EF35F6">
        <w:rPr>
          <w:color w:val="000000"/>
        </w:rPr>
        <w:t xml:space="preserve"> факторы не могут быть определены.</w:t>
      </w:r>
    </w:p>
    <w:p w:rsidR="00EF35F6" w:rsidRPr="00EF35F6" w:rsidRDefault="00EF35F6" w:rsidP="00F275B9">
      <w:pPr>
        <w:jc w:val="both"/>
        <w:rPr>
          <w:color w:val="000000"/>
        </w:rPr>
      </w:pPr>
    </w:p>
    <w:p w:rsidR="00EF35F6" w:rsidRPr="00584776" w:rsidRDefault="00EF35F6" w:rsidP="00F275B9">
      <w:pPr>
        <w:jc w:val="both"/>
        <w:rPr>
          <w:color w:val="000000"/>
        </w:rPr>
      </w:pPr>
    </w:p>
    <w:p w:rsidR="00892924" w:rsidRPr="00584776" w:rsidRDefault="00892924" w:rsidP="00F275B9">
      <w:pPr>
        <w:jc w:val="both"/>
        <w:rPr>
          <w:color w:val="000000"/>
        </w:rPr>
      </w:pPr>
    </w:p>
    <w:p w:rsidR="00892924" w:rsidRPr="00584776" w:rsidRDefault="00892924" w:rsidP="00F275B9">
      <w:pPr>
        <w:jc w:val="both"/>
        <w:rPr>
          <w:color w:val="000000"/>
        </w:rPr>
      </w:pPr>
    </w:p>
    <w:p w:rsidR="00892924" w:rsidRPr="00584776" w:rsidRDefault="00892924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C67E3" w:rsidRDefault="009C67E3" w:rsidP="009C67E3">
            <w:pPr>
              <w:jc w:val="both"/>
              <w:rPr>
                <w:color w:val="000000"/>
                <w:sz w:val="20"/>
                <w:szCs w:val="20"/>
              </w:rPr>
            </w:pPr>
            <w:r w:rsidRPr="009C67E3">
              <w:rPr>
                <w:color w:val="000000"/>
                <w:sz w:val="20"/>
                <w:szCs w:val="20"/>
              </w:rPr>
              <w:t xml:space="preserve">Метод моделирования на базе УПКС </w:t>
            </w:r>
            <w:r w:rsidR="00122EAC">
              <w:rPr>
                <w:color w:val="000000"/>
                <w:sz w:val="20"/>
                <w:szCs w:val="20"/>
              </w:rPr>
              <w:t>–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  <w:r w:rsidRPr="009C67E3">
              <w:rPr>
                <w:color w:val="000000"/>
                <w:sz w:val="20"/>
                <w:szCs w:val="20"/>
              </w:rPr>
              <w:t xml:space="preserve">применяется при недостаточности данных по </w:t>
            </w:r>
            <w:proofErr w:type="spellStart"/>
            <w:r w:rsidRPr="009C67E3">
              <w:rPr>
                <w:color w:val="000000"/>
                <w:sz w:val="20"/>
                <w:szCs w:val="20"/>
              </w:rPr>
              <w:t>ценообразующим</w:t>
            </w:r>
            <w:proofErr w:type="spellEnd"/>
            <w:r w:rsidRPr="009C67E3">
              <w:rPr>
                <w:color w:val="000000"/>
                <w:sz w:val="20"/>
                <w:szCs w:val="20"/>
              </w:rPr>
              <w:t xml:space="preserve"> факторам (в данном случае объект находится вне территории населенного пункта, КЛАДР установлен до уровня района, что не позволяет применить </w:t>
            </w:r>
            <w:proofErr w:type="spellStart"/>
            <w:r w:rsidRPr="009C67E3">
              <w:rPr>
                <w:color w:val="000000"/>
                <w:sz w:val="20"/>
                <w:szCs w:val="20"/>
              </w:rPr>
              <w:t>ценообразующие</w:t>
            </w:r>
            <w:proofErr w:type="spellEnd"/>
            <w:r w:rsidRPr="009C67E3">
              <w:rPr>
                <w:color w:val="000000"/>
                <w:sz w:val="20"/>
                <w:szCs w:val="20"/>
              </w:rPr>
              <w:t xml:space="preserve"> факторы конкретного сельского населенного пункта)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30FDD" w:rsidRDefault="00430FDD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9C67E3">
              <w:rPr>
                <w:color w:val="000000"/>
                <w:sz w:val="20"/>
                <w:szCs w:val="20"/>
              </w:rPr>
              <w:t>Метод моделирования на базе УПКС</w:t>
            </w:r>
            <w:r w:rsidRPr="00430FDD">
              <w:rPr>
                <w:color w:val="000000"/>
                <w:sz w:val="20"/>
                <w:szCs w:val="20"/>
              </w:rPr>
              <w:t xml:space="preserve"> не предусматривает построения модели оценки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636FD" w:rsidRDefault="00122EAC" w:rsidP="00E60114">
            <w:pPr>
              <w:tabs>
                <w:tab w:val="center" w:pos="4677"/>
                <w:tab w:val="left" w:pos="7020"/>
              </w:tabs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E60114" w:rsidRPr="00E60114">
              <w:rPr>
                <w:color w:val="000000"/>
                <w:sz w:val="20"/>
                <w:szCs w:val="20"/>
              </w:rPr>
              <w:t xml:space="preserve"> присвоен </w:t>
            </w:r>
            <w:r w:rsidR="00E60114" w:rsidRPr="00D9444A">
              <w:rPr>
                <w:color w:val="000000"/>
                <w:sz w:val="20"/>
                <w:szCs w:val="20"/>
              </w:rPr>
              <w:t>в соответствии с фактическим разрешенным использованием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</w:t>
            </w:r>
            <w:r w:rsidR="00E60114" w:rsidRPr="00B7745C">
              <w:rPr>
                <w:sz w:val="20"/>
              </w:rPr>
              <w:t>06:093</w:t>
            </w:r>
            <w:r w:rsidR="00E60114">
              <w:rPr>
                <w:sz w:val="20"/>
              </w:rPr>
              <w:t xml:space="preserve"> </w:t>
            </w:r>
            <w:r w:rsidR="00E60114" w:rsidRPr="0069769E">
              <w:rPr>
                <w:sz w:val="20"/>
              </w:rPr>
              <w:t>«</w:t>
            </w:r>
            <w:r w:rsidR="00E60114" w:rsidRPr="00B7745C">
              <w:rPr>
                <w:sz w:val="20"/>
              </w:rPr>
              <w:t xml:space="preserve">Склады. </w:t>
            </w:r>
            <w:proofErr w:type="gramStart"/>
            <w:r w:rsidR="00E60114" w:rsidRPr="00B7745C">
              <w:rPr>
                <w:sz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="00E60114" w:rsidRPr="0069769E">
              <w:rPr>
                <w:sz w:val="20"/>
              </w:rPr>
              <w:t>»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9D32BE">
              <w:rPr>
                <w:color w:val="000000"/>
                <w:sz w:val="20"/>
                <w:szCs w:val="20"/>
              </w:rPr>
              <w:t>1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Производство</w:t>
            </w:r>
            <w:r w:rsidR="00EF5B04">
              <w:rPr>
                <w:color w:val="000000"/>
                <w:sz w:val="20"/>
                <w:szCs w:val="20"/>
              </w:rPr>
              <w:t>»</w:t>
            </w:r>
            <w:r w:rsidR="007636FD" w:rsidRPr="007636FD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>
      <w:pPr>
        <w:rPr>
          <w:lang w:val="en-US"/>
        </w:rPr>
      </w:pPr>
    </w:p>
    <w:p w:rsidR="00797C32" w:rsidRPr="00797C32" w:rsidRDefault="00797C32" w:rsidP="00122EAC">
      <w:pPr>
        <w:rPr>
          <w:lang w:val="en-US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Pr="001B6D33" w:rsidRDefault="003855C7" w:rsidP="003855C7">
      <w:pPr>
        <w:spacing w:after="120"/>
        <w:jc w:val="both"/>
        <w:rPr>
          <w:color w:val="000000"/>
        </w:rPr>
      </w:pPr>
    </w:p>
    <w:p w:rsidR="009463F8" w:rsidRPr="002533A9" w:rsidRDefault="009463F8" w:rsidP="009463F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Начальник отдела ГКО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/Е.Н. Давыдова/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Default="009463F8" w:rsidP="00FD321B">
            <w:pPr>
              <w:rPr>
                <w:color w:val="000000"/>
                <w:sz w:val="16"/>
                <w:szCs w:val="24"/>
              </w:rPr>
            </w:pPr>
          </w:p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2533A9" w:rsidRDefault="009463F8" w:rsidP="009463F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/С.Г. Оганесян/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4F7B96" w:rsidRDefault="009463F8" w:rsidP="009463F8">
      <w:pPr>
        <w:ind w:firstLine="567"/>
        <w:rPr>
          <w:sz w:val="8"/>
        </w:rPr>
      </w:pPr>
    </w:p>
    <w:p w:rsidR="009463F8" w:rsidRPr="002533A9" w:rsidRDefault="009463F8" w:rsidP="009463F8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Директор БУ ОО «МР БТИ»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/С.Н. Подрезов/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2533A9" w:rsidRDefault="009463F8" w:rsidP="009463F8">
      <w:pPr>
        <w:ind w:firstLine="708"/>
        <w:jc w:val="both"/>
      </w:pPr>
    </w:p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74B89"/>
    <w:rsid w:val="000804FA"/>
    <w:rsid w:val="0009466B"/>
    <w:rsid w:val="000955DF"/>
    <w:rsid w:val="00095B2D"/>
    <w:rsid w:val="0009680B"/>
    <w:rsid w:val="000A09FD"/>
    <w:rsid w:val="000A1098"/>
    <w:rsid w:val="000A72B7"/>
    <w:rsid w:val="000B2881"/>
    <w:rsid w:val="000C1C4B"/>
    <w:rsid w:val="000C72C4"/>
    <w:rsid w:val="000C7D3B"/>
    <w:rsid w:val="000D43D5"/>
    <w:rsid w:val="000F1398"/>
    <w:rsid w:val="000F4093"/>
    <w:rsid w:val="001139D5"/>
    <w:rsid w:val="00122EAC"/>
    <w:rsid w:val="0013153E"/>
    <w:rsid w:val="00135BFC"/>
    <w:rsid w:val="001530A4"/>
    <w:rsid w:val="00155D0E"/>
    <w:rsid w:val="00157B4D"/>
    <w:rsid w:val="00157FF0"/>
    <w:rsid w:val="00174BF4"/>
    <w:rsid w:val="00176381"/>
    <w:rsid w:val="00185FF3"/>
    <w:rsid w:val="00186183"/>
    <w:rsid w:val="001923CE"/>
    <w:rsid w:val="00195279"/>
    <w:rsid w:val="0019585E"/>
    <w:rsid w:val="00197D86"/>
    <w:rsid w:val="001A5CA1"/>
    <w:rsid w:val="001B2248"/>
    <w:rsid w:val="001B4521"/>
    <w:rsid w:val="001B6D33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A5CC7"/>
    <w:rsid w:val="002B1235"/>
    <w:rsid w:val="002B625A"/>
    <w:rsid w:val="002C5813"/>
    <w:rsid w:val="002E72EA"/>
    <w:rsid w:val="002E7892"/>
    <w:rsid w:val="002F4826"/>
    <w:rsid w:val="00336B26"/>
    <w:rsid w:val="003405E2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05C3"/>
    <w:rsid w:val="003F7A4F"/>
    <w:rsid w:val="0040522D"/>
    <w:rsid w:val="0041657C"/>
    <w:rsid w:val="004253FC"/>
    <w:rsid w:val="00426F9D"/>
    <w:rsid w:val="00430FD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B4B56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4776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0F53"/>
    <w:rsid w:val="00684007"/>
    <w:rsid w:val="0068735B"/>
    <w:rsid w:val="00687E2A"/>
    <w:rsid w:val="00693DB6"/>
    <w:rsid w:val="006A645C"/>
    <w:rsid w:val="006B17D2"/>
    <w:rsid w:val="006C1463"/>
    <w:rsid w:val="006D0B3D"/>
    <w:rsid w:val="006D76D9"/>
    <w:rsid w:val="006E7808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636FD"/>
    <w:rsid w:val="00797C32"/>
    <w:rsid w:val="007A30A4"/>
    <w:rsid w:val="007A65D5"/>
    <w:rsid w:val="007D1621"/>
    <w:rsid w:val="007D2525"/>
    <w:rsid w:val="007D3A0B"/>
    <w:rsid w:val="007D7766"/>
    <w:rsid w:val="007E6730"/>
    <w:rsid w:val="007E7C22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285"/>
    <w:rsid w:val="008606CE"/>
    <w:rsid w:val="00861CF4"/>
    <w:rsid w:val="00863182"/>
    <w:rsid w:val="00865A13"/>
    <w:rsid w:val="00872B84"/>
    <w:rsid w:val="00877338"/>
    <w:rsid w:val="00892924"/>
    <w:rsid w:val="008943A5"/>
    <w:rsid w:val="008A0F90"/>
    <w:rsid w:val="008A1661"/>
    <w:rsid w:val="008B1E7F"/>
    <w:rsid w:val="008B6180"/>
    <w:rsid w:val="008C2489"/>
    <w:rsid w:val="008D2583"/>
    <w:rsid w:val="008E6069"/>
    <w:rsid w:val="009009BD"/>
    <w:rsid w:val="009052E2"/>
    <w:rsid w:val="00905CB8"/>
    <w:rsid w:val="009148B7"/>
    <w:rsid w:val="00927075"/>
    <w:rsid w:val="009463F8"/>
    <w:rsid w:val="009518D3"/>
    <w:rsid w:val="00953483"/>
    <w:rsid w:val="00960774"/>
    <w:rsid w:val="0097743B"/>
    <w:rsid w:val="009806B3"/>
    <w:rsid w:val="009862A0"/>
    <w:rsid w:val="009A214B"/>
    <w:rsid w:val="009A370D"/>
    <w:rsid w:val="009A7FFD"/>
    <w:rsid w:val="009B72E3"/>
    <w:rsid w:val="009C3327"/>
    <w:rsid w:val="009C67E3"/>
    <w:rsid w:val="009C74DB"/>
    <w:rsid w:val="009D32BE"/>
    <w:rsid w:val="009D4678"/>
    <w:rsid w:val="009E0B2A"/>
    <w:rsid w:val="009E1378"/>
    <w:rsid w:val="009F1F95"/>
    <w:rsid w:val="009F3F89"/>
    <w:rsid w:val="00A07063"/>
    <w:rsid w:val="00A07676"/>
    <w:rsid w:val="00A10293"/>
    <w:rsid w:val="00A214BA"/>
    <w:rsid w:val="00A22117"/>
    <w:rsid w:val="00A32EB2"/>
    <w:rsid w:val="00A346C3"/>
    <w:rsid w:val="00A3737B"/>
    <w:rsid w:val="00A45E11"/>
    <w:rsid w:val="00A526CE"/>
    <w:rsid w:val="00A73461"/>
    <w:rsid w:val="00A7417E"/>
    <w:rsid w:val="00A7587D"/>
    <w:rsid w:val="00A75BF5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E457E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03E2"/>
    <w:rsid w:val="00B34A4B"/>
    <w:rsid w:val="00B35446"/>
    <w:rsid w:val="00B35F3D"/>
    <w:rsid w:val="00B40CB3"/>
    <w:rsid w:val="00B42FB7"/>
    <w:rsid w:val="00B43552"/>
    <w:rsid w:val="00B55C2B"/>
    <w:rsid w:val="00B566D6"/>
    <w:rsid w:val="00B6131F"/>
    <w:rsid w:val="00B73DFF"/>
    <w:rsid w:val="00B74E57"/>
    <w:rsid w:val="00B77282"/>
    <w:rsid w:val="00B80689"/>
    <w:rsid w:val="00B941E8"/>
    <w:rsid w:val="00B952BF"/>
    <w:rsid w:val="00BA0BFF"/>
    <w:rsid w:val="00BB1E10"/>
    <w:rsid w:val="00BC4BA3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1979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21DF"/>
    <w:rsid w:val="00D349CD"/>
    <w:rsid w:val="00D42378"/>
    <w:rsid w:val="00D63E25"/>
    <w:rsid w:val="00D829DC"/>
    <w:rsid w:val="00D93623"/>
    <w:rsid w:val="00D942B3"/>
    <w:rsid w:val="00DA12A3"/>
    <w:rsid w:val="00DA28B5"/>
    <w:rsid w:val="00DB2FA2"/>
    <w:rsid w:val="00DC006B"/>
    <w:rsid w:val="00DC3C8B"/>
    <w:rsid w:val="00DC5BC5"/>
    <w:rsid w:val="00DD36CD"/>
    <w:rsid w:val="00DD439B"/>
    <w:rsid w:val="00DD45ED"/>
    <w:rsid w:val="00E034B2"/>
    <w:rsid w:val="00E05F23"/>
    <w:rsid w:val="00E23975"/>
    <w:rsid w:val="00E35509"/>
    <w:rsid w:val="00E41515"/>
    <w:rsid w:val="00E57FBC"/>
    <w:rsid w:val="00E60114"/>
    <w:rsid w:val="00E65723"/>
    <w:rsid w:val="00E665B9"/>
    <w:rsid w:val="00E70143"/>
    <w:rsid w:val="00E740D0"/>
    <w:rsid w:val="00E76C49"/>
    <w:rsid w:val="00E77B48"/>
    <w:rsid w:val="00E8149E"/>
    <w:rsid w:val="00E93491"/>
    <w:rsid w:val="00E95A91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5F6"/>
    <w:rsid w:val="00EF3F1E"/>
    <w:rsid w:val="00EF5B04"/>
    <w:rsid w:val="00F07CAC"/>
    <w:rsid w:val="00F21AAF"/>
    <w:rsid w:val="00F228F6"/>
    <w:rsid w:val="00F275B9"/>
    <w:rsid w:val="00F47F73"/>
    <w:rsid w:val="00F530B1"/>
    <w:rsid w:val="00F56115"/>
    <w:rsid w:val="00F6268F"/>
    <w:rsid w:val="00F6791B"/>
    <w:rsid w:val="00F870D5"/>
    <w:rsid w:val="00FC66B3"/>
    <w:rsid w:val="00FD0BDD"/>
    <w:rsid w:val="00FD1F5F"/>
    <w:rsid w:val="00FD30FF"/>
    <w:rsid w:val="00FD321B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5E0B-B3BC-42DF-A80F-19B16C45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22</cp:revision>
  <cp:lastPrinted>2020-07-21T10:56:00Z</cp:lastPrinted>
  <dcterms:created xsi:type="dcterms:W3CDTF">2020-10-22T15:30:00Z</dcterms:created>
  <dcterms:modified xsi:type="dcterms:W3CDTF">2021-01-18T14:07:00Z</dcterms:modified>
</cp:coreProperties>
</file>