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2E0EC0" w:rsidP="00CB3AAF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05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AB2F8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октября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  <w:r w:rsidR="002E0EC0">
                    <w:rPr>
                      <w:sz w:val="18"/>
                      <w:szCs w:val="22"/>
                    </w:rPr>
                    <w:t>4141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804206" w:rsidRDefault="00804206" w:rsidP="001B2248">
      <w:pPr>
        <w:spacing w:line="360" w:lineRule="auto"/>
        <w:ind w:left="6697"/>
        <w:jc w:val="right"/>
        <w:rPr>
          <w:sz w:val="12"/>
          <w:szCs w:val="12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AB2F80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204FCC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AB2F80">
        <w:rPr>
          <w:color w:val="000000"/>
        </w:rPr>
        <w:t>18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AB2F80">
        <w:rPr>
          <w:color w:val="000000"/>
        </w:rPr>
        <w:t>9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B26C69">
        <w:rPr>
          <w:b/>
          <w:bCs/>
          <w:color w:val="000000"/>
        </w:rPr>
        <w:t>2</w:t>
      </w:r>
      <w:r w:rsidR="001C3BA3">
        <w:rPr>
          <w:b/>
          <w:bCs/>
          <w:color w:val="000000"/>
        </w:rPr>
        <w:t>5</w:t>
      </w:r>
      <w:r w:rsidR="00B55C2B" w:rsidRPr="00B55C2B">
        <w:rPr>
          <w:b/>
          <w:bCs/>
          <w:color w:val="000000"/>
        </w:rPr>
        <w:t>:</w:t>
      </w:r>
      <w:r w:rsidR="001C3BA3">
        <w:rPr>
          <w:b/>
          <w:bCs/>
          <w:color w:val="000000"/>
        </w:rPr>
        <w:t>003</w:t>
      </w:r>
      <w:r w:rsidR="00AB2F80">
        <w:rPr>
          <w:b/>
          <w:bCs/>
          <w:color w:val="000000"/>
        </w:rPr>
        <w:t>1047</w:t>
      </w:r>
      <w:r w:rsidR="00B55C2B" w:rsidRPr="00B55C2B">
        <w:rPr>
          <w:b/>
          <w:bCs/>
          <w:color w:val="000000"/>
        </w:rPr>
        <w:t>:</w:t>
      </w:r>
      <w:r w:rsidR="00487CD0">
        <w:rPr>
          <w:b/>
          <w:bCs/>
          <w:color w:val="000000"/>
        </w:rPr>
        <w:t>2</w:t>
      </w:r>
      <w:r>
        <w:rPr>
          <w:b/>
          <w:bCs/>
          <w:color w:val="000000"/>
        </w:rPr>
        <w:t>.</w:t>
      </w:r>
    </w:p>
    <w:p w:rsidR="00157FF0" w:rsidRDefault="00157FF0" w:rsidP="00122EAC">
      <w:pPr>
        <w:ind w:firstLine="851"/>
        <w:jc w:val="both"/>
        <w:rPr>
          <w:color w:val="000000"/>
          <w:sz w:val="12"/>
          <w:szCs w:val="12"/>
        </w:rPr>
      </w:pPr>
    </w:p>
    <w:p w:rsidR="00804206" w:rsidRDefault="00804206" w:rsidP="00122EAC">
      <w:pPr>
        <w:ind w:firstLine="851"/>
        <w:jc w:val="both"/>
        <w:rPr>
          <w:color w:val="000000"/>
          <w:sz w:val="12"/>
          <w:szCs w:val="12"/>
        </w:rPr>
      </w:pPr>
    </w:p>
    <w:p w:rsidR="00804206" w:rsidRDefault="00804206" w:rsidP="00122EAC">
      <w:pPr>
        <w:ind w:firstLine="851"/>
        <w:jc w:val="both"/>
        <w:rPr>
          <w:color w:val="000000"/>
          <w:sz w:val="12"/>
          <w:szCs w:val="12"/>
        </w:rPr>
      </w:pPr>
    </w:p>
    <w:p w:rsidR="00804206" w:rsidRPr="00586CC8" w:rsidRDefault="00804206" w:rsidP="00122EAC">
      <w:pPr>
        <w:ind w:firstLine="851"/>
        <w:jc w:val="both"/>
        <w:rPr>
          <w:color w:val="000000"/>
          <w:sz w:val="12"/>
          <w:szCs w:val="12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F2491C" w:rsidP="00F2491C">
            <w:pPr>
              <w:jc w:val="both"/>
              <w:rPr>
                <w:color w:val="000000"/>
                <w:sz w:val="20"/>
              </w:rPr>
            </w:pPr>
            <w:r w:rsidRPr="00F2491C">
              <w:rPr>
                <w:color w:val="000000"/>
                <w:sz w:val="20"/>
              </w:rPr>
              <w:t>14 392 416,08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8532F" w:rsidRDefault="00352D4E" w:rsidP="00352D4E">
            <w:pPr>
              <w:jc w:val="both"/>
              <w:rPr>
                <w:color w:val="000000"/>
                <w:sz w:val="20"/>
              </w:rPr>
            </w:pPr>
            <w:r w:rsidRPr="00B8532F">
              <w:rPr>
                <w:color w:val="000000"/>
                <w:sz w:val="20"/>
              </w:rPr>
              <w:t>11.08.2020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204FCC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F2491C" w:rsidP="00602F75">
            <w:pPr>
              <w:jc w:val="both"/>
              <w:rPr>
                <w:color w:val="000000"/>
                <w:sz w:val="20"/>
              </w:rPr>
            </w:pPr>
            <w:r w:rsidRPr="00F2491C">
              <w:rPr>
                <w:color w:val="000000"/>
                <w:sz w:val="20"/>
              </w:rPr>
              <w:t xml:space="preserve">Акт об определении кадастровой стоимости от </w:t>
            </w:r>
            <w:r w:rsidRPr="00602F75">
              <w:rPr>
                <w:color w:val="000000"/>
                <w:sz w:val="20"/>
              </w:rPr>
              <w:t>28</w:t>
            </w:r>
            <w:r w:rsidR="00602F75" w:rsidRPr="00602F75">
              <w:rPr>
                <w:color w:val="000000"/>
                <w:sz w:val="20"/>
              </w:rPr>
              <w:t>.</w:t>
            </w:r>
            <w:r w:rsidR="00602F75">
              <w:rPr>
                <w:color w:val="000000"/>
                <w:sz w:val="20"/>
              </w:rPr>
              <w:t>08.2020 г.</w:t>
            </w:r>
            <w:r w:rsidRPr="00F2491C">
              <w:rPr>
                <w:color w:val="000000"/>
                <w:sz w:val="20"/>
              </w:rPr>
              <w:t xml:space="preserve"> № АОКС-57/2020/000156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894B8A" w:rsidP="00894B8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</w:t>
            </w:r>
            <w:proofErr w:type="spellStart"/>
            <w:r>
              <w:rPr>
                <w:color w:val="000000"/>
                <w:sz w:val="20"/>
              </w:rPr>
              <w:t>Берлинова</w:t>
            </w:r>
            <w:proofErr w:type="spellEnd"/>
            <w:r w:rsidRPr="006B1CAF">
              <w:rPr>
                <w:color w:val="000000"/>
                <w:sz w:val="20"/>
              </w:rPr>
              <w:t xml:space="preserve"> Е.А., Новиков А.Н., Косенкова Н.А., Громова Е. Н.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2E0EC0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C0" w:rsidRPr="006B1CAF" w:rsidRDefault="002E0EC0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C0" w:rsidRPr="006B1CAF" w:rsidRDefault="002E0EC0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EC0" w:rsidRPr="00B8532F" w:rsidRDefault="002E0EC0" w:rsidP="00771834">
            <w:pPr>
              <w:jc w:val="both"/>
              <w:rPr>
                <w:color w:val="000000"/>
                <w:sz w:val="20"/>
              </w:rPr>
            </w:pPr>
            <w:r w:rsidRPr="00B8532F">
              <w:rPr>
                <w:color w:val="000000"/>
                <w:sz w:val="20"/>
              </w:rPr>
              <w:t>11.08.2020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64256D" w:rsidP="002A417A">
            <w:pPr>
              <w:jc w:val="both"/>
              <w:rPr>
                <w:color w:val="000000"/>
                <w:sz w:val="20"/>
              </w:rPr>
            </w:pPr>
            <w:r w:rsidRPr="0064256D">
              <w:rPr>
                <w:color w:val="000000"/>
                <w:sz w:val="20"/>
              </w:rPr>
              <w:t xml:space="preserve">Инспекция Федеральной налоговой службы по </w:t>
            </w:r>
            <w:proofErr w:type="spellStart"/>
            <w:r w:rsidRPr="0064256D">
              <w:rPr>
                <w:color w:val="000000"/>
                <w:sz w:val="20"/>
              </w:rPr>
              <w:t>г</w:t>
            </w:r>
            <w:proofErr w:type="gramStart"/>
            <w:r w:rsidRPr="0064256D">
              <w:rPr>
                <w:color w:val="000000"/>
                <w:sz w:val="20"/>
              </w:rPr>
              <w:t>.О</w:t>
            </w:r>
            <w:proofErr w:type="gramEnd"/>
            <w:r w:rsidRPr="0064256D">
              <w:rPr>
                <w:color w:val="000000"/>
                <w:sz w:val="20"/>
              </w:rPr>
              <w:t>рлу</w:t>
            </w:r>
            <w:proofErr w:type="spellEnd"/>
            <w:r w:rsidR="00122EAC" w:rsidRPr="0019585E">
              <w:rPr>
                <w:color w:val="000000"/>
                <w:sz w:val="20"/>
              </w:rPr>
              <w:t xml:space="preserve">; </w:t>
            </w:r>
            <w:r w:rsidRPr="0064256D">
              <w:rPr>
                <w:color w:val="000000"/>
                <w:sz w:val="20"/>
              </w:rPr>
              <w:t xml:space="preserve">302025, </w:t>
            </w:r>
            <w:proofErr w:type="spellStart"/>
            <w:r w:rsidRPr="0064256D">
              <w:rPr>
                <w:color w:val="000000"/>
                <w:sz w:val="20"/>
              </w:rPr>
              <w:t>г.Орел</w:t>
            </w:r>
            <w:proofErr w:type="spellEnd"/>
            <w:r w:rsidRPr="0064256D">
              <w:rPr>
                <w:color w:val="000000"/>
                <w:sz w:val="20"/>
              </w:rPr>
              <w:t>, Московское шоссе, д.119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64256D" w:rsidP="002A417A">
            <w:pPr>
              <w:jc w:val="both"/>
              <w:rPr>
                <w:color w:val="000000"/>
                <w:sz w:val="20"/>
              </w:rPr>
            </w:pPr>
            <w:r w:rsidRPr="0064256D">
              <w:rPr>
                <w:color w:val="000000"/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804206" w:rsidRDefault="00804206" w:rsidP="00122EAC"/>
    <w:p w:rsidR="00804206" w:rsidRDefault="00804206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86CC8" w:rsidP="009148B7">
            <w:pPr>
              <w:rPr>
                <w:color w:val="000000"/>
                <w:sz w:val="20"/>
                <w:szCs w:val="20"/>
              </w:rPr>
            </w:pPr>
            <w:r w:rsidRPr="00586CC8">
              <w:rPr>
                <w:color w:val="000000"/>
                <w:sz w:val="20"/>
                <w:szCs w:val="20"/>
              </w:rPr>
              <w:t>57:25:0031047:2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586CC8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8" w:rsidRPr="008E10C2" w:rsidRDefault="00586CC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8" w:rsidRPr="008E10C2" w:rsidRDefault="00586CC8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8" w:rsidRPr="008E10C2" w:rsidRDefault="00586CC8" w:rsidP="009C1F3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</w:t>
            </w: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>
              <w:rPr>
                <w:color w:val="000000"/>
                <w:sz w:val="20"/>
                <w:szCs w:val="20"/>
              </w:rPr>
              <w:t xml:space="preserve"> городской округ город Орёл, г. Орёл, ул. Молдавская, 22а</w:t>
            </w:r>
          </w:p>
        </w:tc>
      </w:tr>
      <w:tr w:rsidR="00586CC8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8" w:rsidRPr="008E10C2" w:rsidRDefault="00586CC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8" w:rsidRPr="009052E2" w:rsidRDefault="00586CC8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8" w:rsidRPr="00C52C00" w:rsidRDefault="00586CC8" w:rsidP="009C1F3F">
            <w:pPr>
              <w:jc w:val="both"/>
              <w:rPr>
                <w:color w:val="000000"/>
                <w:sz w:val="20"/>
                <w:szCs w:val="20"/>
              </w:rPr>
            </w:pPr>
            <w:r w:rsidRPr="00C52C00">
              <w:rPr>
                <w:color w:val="000000"/>
                <w:sz w:val="20"/>
                <w:szCs w:val="20"/>
              </w:rPr>
              <w:t>Градостроительная зона: П-4 - Зона производственно-коммунальных объектов V класса опасности.</w:t>
            </w:r>
          </w:p>
          <w:p w:rsidR="00586CC8" w:rsidRPr="00C52C00" w:rsidRDefault="00586CC8" w:rsidP="009C1F3F">
            <w:pPr>
              <w:jc w:val="both"/>
              <w:rPr>
                <w:color w:val="000000"/>
                <w:sz w:val="20"/>
                <w:szCs w:val="20"/>
              </w:rPr>
            </w:pPr>
            <w:r w:rsidRPr="00C52C00">
              <w:rPr>
                <w:color w:val="000000"/>
                <w:sz w:val="20"/>
                <w:szCs w:val="20"/>
              </w:rPr>
              <w:t xml:space="preserve">Объект расположен </w:t>
            </w:r>
            <w:proofErr w:type="gramStart"/>
            <w:r w:rsidRPr="00C52C00">
              <w:rPr>
                <w:color w:val="000000"/>
                <w:sz w:val="20"/>
                <w:szCs w:val="20"/>
              </w:rPr>
              <w:t>на окраине города в зоне промышленной застройки на незначительном удалении от одной из основных автодорог</w:t>
            </w:r>
            <w:proofErr w:type="gramEnd"/>
            <w:r w:rsidRPr="00C52C00">
              <w:rPr>
                <w:color w:val="000000"/>
                <w:sz w:val="20"/>
                <w:szCs w:val="20"/>
              </w:rPr>
              <w:t xml:space="preserve">. Окружение земельного участка: объекты производственно-складского и коммерческого назначения 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586CC8" w:rsidP="005B32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13075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586CC8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8" w:rsidRPr="008E10C2" w:rsidRDefault="00586CC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8" w:rsidRPr="008E10C2" w:rsidRDefault="00586CC8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8" w:rsidRPr="008E10C2" w:rsidRDefault="00586CC8" w:rsidP="009C1F3F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586CC8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8" w:rsidRPr="008E10C2" w:rsidRDefault="00586CC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8" w:rsidRPr="008E10C2" w:rsidRDefault="00586CC8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8" w:rsidRPr="008E10C2" w:rsidRDefault="00586CC8" w:rsidP="009C1F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Общественное управление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804206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8042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8042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/>
    <w:p w:rsidR="00804206" w:rsidRDefault="00804206" w:rsidP="00122EAC"/>
    <w:p w:rsidR="00122EAC" w:rsidRDefault="00122EAC" w:rsidP="00804206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586CC8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8" w:rsidRPr="001143FD" w:rsidRDefault="00586CC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8" w:rsidRPr="001143FD" w:rsidRDefault="00586CC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8" w:rsidRPr="00CD1269" w:rsidRDefault="00586CC8" w:rsidP="009C1F3F">
            <w:pPr>
              <w:jc w:val="both"/>
              <w:rPr>
                <w:color w:val="000000"/>
                <w:sz w:val="20"/>
              </w:rPr>
            </w:pPr>
            <w:r w:rsidRPr="00623500">
              <w:rPr>
                <w:color w:val="000000"/>
                <w:sz w:val="20"/>
              </w:rPr>
              <w:t>Земельные</w:t>
            </w:r>
            <w:r w:rsidRPr="00CD1269">
              <w:rPr>
                <w:color w:val="000000"/>
                <w:sz w:val="20"/>
              </w:rPr>
              <w:t xml:space="preserve"> участки под коммерческое использование</w:t>
            </w:r>
          </w:p>
        </w:tc>
      </w:tr>
      <w:tr w:rsidR="00586CC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8" w:rsidRPr="001143FD" w:rsidRDefault="00586CC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8" w:rsidRPr="001143FD" w:rsidRDefault="00586CC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8" w:rsidRPr="00AA26E7" w:rsidRDefault="00586CC8" w:rsidP="009C1F3F">
            <w:pPr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 xml:space="preserve">Сегмент рынка земельных участков под коммерческое строительство значительно менее развит по сравнению с другими сегментами рынка, что обусловлено отсутствием свободных земельных участков под застройку в местах, привлекательных для организации торговли или размещения офисных центров. Земельные участки под застройку коммерческими объектами наиболее дорогие, что обусловлено более высокой потенциальной доходностью. Данные участки, как правило, полностью оснащены коммуникациями. Разница в ценах между ними обусловлена фактором местоположения. Полная характеристика данного сегмента рынка представлена в п. 4.3.9 Отчета об итогах государственной кадастровой оценки Том 1, стр. 139-148. </w:t>
            </w:r>
          </w:p>
        </w:tc>
      </w:tr>
      <w:tr w:rsidR="00586CC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8" w:rsidRPr="001143FD" w:rsidRDefault="00586CC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8" w:rsidRPr="001143FD" w:rsidRDefault="00586CC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CC8" w:rsidRPr="001143FD" w:rsidRDefault="00586CC8" w:rsidP="009C1F3F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коммерческое использование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Pr="009014C1" w:rsidRDefault="00122EAC" w:rsidP="00122EAC">
      <w:pPr>
        <w:rPr>
          <w:sz w:val="6"/>
          <w:szCs w:val="6"/>
        </w:rPr>
      </w:pPr>
    </w:p>
    <w:p w:rsidR="00804206" w:rsidRDefault="00804206" w:rsidP="009014C1">
      <w:pPr>
        <w:spacing w:after="60"/>
        <w:jc w:val="both"/>
        <w:rPr>
          <w:color w:val="000000"/>
        </w:rPr>
      </w:pPr>
    </w:p>
    <w:p w:rsidR="00122EAC" w:rsidRDefault="00122EAC" w:rsidP="00804206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</w:t>
            </w:r>
            <w:r w:rsidRPr="00373292">
              <w:rPr>
                <w:color w:val="000000"/>
                <w:sz w:val="20"/>
                <w:szCs w:val="20"/>
              </w:rPr>
              <w:t>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373292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92" w:rsidRPr="00F15EF5" w:rsidRDefault="00373292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92" w:rsidRPr="00F15EF5" w:rsidRDefault="00373292" w:rsidP="00693F59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92" w:rsidRPr="00B53739" w:rsidRDefault="00373292" w:rsidP="00693F59">
            <w:pPr>
              <w:jc w:val="center"/>
              <w:rPr>
                <w:color w:val="000000"/>
                <w:sz w:val="20"/>
                <w:szCs w:val="20"/>
              </w:rPr>
            </w:pPr>
            <w:r w:rsidRPr="00C52C00">
              <w:rPr>
                <w:color w:val="000000"/>
                <w:sz w:val="20"/>
                <w:szCs w:val="20"/>
              </w:rPr>
              <w:t xml:space="preserve">3721,982 </w:t>
            </w:r>
            <w:r w:rsidRPr="00AC60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92" w:rsidRPr="00757463" w:rsidRDefault="00373292" w:rsidP="00693F59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373292" w:rsidRPr="00757463" w:rsidRDefault="00373292" w:rsidP="00693F59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3 сегмент</w:t>
            </w:r>
          </w:p>
        </w:tc>
      </w:tr>
      <w:tr w:rsidR="00373292" w:rsidRPr="00F15EF5" w:rsidTr="000967D0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92" w:rsidRPr="00F15EF5" w:rsidRDefault="00373292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92" w:rsidRPr="00F15EF5" w:rsidRDefault="00373292" w:rsidP="00693F59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92" w:rsidRPr="00F15EF5" w:rsidRDefault="00373292" w:rsidP="00693F59">
            <w:pPr>
              <w:jc w:val="center"/>
              <w:rPr>
                <w:color w:val="000000"/>
                <w:sz w:val="20"/>
                <w:szCs w:val="20"/>
              </w:rPr>
            </w:pPr>
            <w:r w:rsidRPr="00C52C00">
              <w:rPr>
                <w:color w:val="000000"/>
                <w:sz w:val="20"/>
                <w:szCs w:val="20"/>
              </w:rPr>
              <w:t xml:space="preserve">81,914 </w:t>
            </w:r>
            <w:r w:rsidRPr="00AC60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92" w:rsidRPr="00757463" w:rsidRDefault="00373292" w:rsidP="00693F59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373292" w:rsidRPr="00757463" w:rsidRDefault="00373292" w:rsidP="00693F59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3 сегмент</w:t>
            </w:r>
          </w:p>
        </w:tc>
      </w:tr>
      <w:tr w:rsidR="00373292" w:rsidRPr="00F15EF5" w:rsidTr="000967D0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92" w:rsidRPr="00F15EF5" w:rsidRDefault="00373292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92" w:rsidRPr="00F15EF5" w:rsidRDefault="00373292" w:rsidP="00693F59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92" w:rsidRPr="00F15EF5" w:rsidRDefault="00373292" w:rsidP="00693F59">
            <w:pPr>
              <w:jc w:val="center"/>
              <w:rPr>
                <w:color w:val="000000"/>
                <w:sz w:val="20"/>
                <w:szCs w:val="20"/>
              </w:rPr>
            </w:pPr>
            <w:r w:rsidRPr="00C52C00">
              <w:rPr>
                <w:color w:val="000000"/>
                <w:sz w:val="20"/>
                <w:szCs w:val="20"/>
              </w:rPr>
              <w:t>2832,654</w:t>
            </w:r>
            <w:r w:rsidRPr="00AC60EA">
              <w:rPr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92" w:rsidRPr="00757463" w:rsidRDefault="00373292" w:rsidP="00693F59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373292" w:rsidRPr="00757463" w:rsidRDefault="00373292" w:rsidP="00693F59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3 сегмент</w:t>
            </w:r>
          </w:p>
        </w:tc>
      </w:tr>
      <w:tr w:rsidR="00373292" w:rsidRPr="00F15EF5" w:rsidTr="000967D0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92" w:rsidRPr="00F15EF5" w:rsidRDefault="00373292" w:rsidP="009C1F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92" w:rsidRPr="00F15EF5" w:rsidRDefault="00373292" w:rsidP="00693F59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_Районы города Орла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92" w:rsidRPr="00F15EF5" w:rsidRDefault="00373292" w:rsidP="00693F5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Железнодорожный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(значение метки: </w:t>
            </w:r>
            <w:r w:rsidRPr="00AC60EA">
              <w:rPr>
                <w:color w:val="000000"/>
                <w:sz w:val="20"/>
                <w:szCs w:val="20"/>
              </w:rPr>
              <w:t>1,00842100107288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92" w:rsidRPr="00FD1F5F" w:rsidRDefault="00373292" w:rsidP="00693F59">
            <w:pPr>
              <w:jc w:val="both"/>
              <w:rPr>
                <w:color w:val="000000"/>
                <w:sz w:val="20"/>
                <w:szCs w:val="20"/>
              </w:rPr>
            </w:pPr>
            <w:r w:rsidRPr="00FD1F5F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D1F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Обоснование и описание моделей оценки ЗУ\Сегмент 3\местоположение установлено\Орел\Метод моделирования\Модели</w:t>
            </w:r>
          </w:p>
        </w:tc>
      </w:tr>
    </w:tbl>
    <w:p w:rsidR="009B1764" w:rsidRPr="009014C1" w:rsidRDefault="009B1764" w:rsidP="00F275B9">
      <w:pPr>
        <w:jc w:val="both"/>
        <w:rPr>
          <w:color w:val="000000"/>
          <w:sz w:val="6"/>
          <w:szCs w:val="6"/>
        </w:rPr>
      </w:pPr>
    </w:p>
    <w:p w:rsidR="00804206" w:rsidRDefault="00804206" w:rsidP="009014C1">
      <w:pPr>
        <w:spacing w:after="60"/>
        <w:jc w:val="both"/>
        <w:rPr>
          <w:color w:val="000000"/>
        </w:rPr>
      </w:pPr>
    </w:p>
    <w:p w:rsidR="00804206" w:rsidRDefault="00804206" w:rsidP="009014C1">
      <w:pPr>
        <w:spacing w:after="60"/>
        <w:jc w:val="both"/>
        <w:rPr>
          <w:color w:val="000000"/>
        </w:rPr>
      </w:pPr>
    </w:p>
    <w:p w:rsidR="00804206" w:rsidRDefault="00804206" w:rsidP="009014C1">
      <w:pPr>
        <w:spacing w:after="60"/>
        <w:jc w:val="both"/>
        <w:rPr>
          <w:color w:val="000000"/>
        </w:rPr>
      </w:pPr>
    </w:p>
    <w:p w:rsidR="00122EAC" w:rsidRDefault="00122EAC" w:rsidP="00804206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BA6CD0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0" w:rsidRPr="00D9444A" w:rsidRDefault="00BA6CD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0" w:rsidRPr="00D9444A" w:rsidRDefault="00BA6CD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0" w:rsidRPr="00D9444A" w:rsidRDefault="00BA6CD0" w:rsidP="009C1F3F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 xml:space="preserve">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коммерческие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BA6CD0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0" w:rsidRPr="00D9444A" w:rsidRDefault="00BA6CD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0" w:rsidRPr="00D9444A" w:rsidRDefault="00BA6CD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0" w:rsidRPr="00D9444A" w:rsidRDefault="00BA6CD0" w:rsidP="009C1F3F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BA6CD0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0" w:rsidRPr="00D9444A" w:rsidRDefault="00BA6CD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0" w:rsidRPr="00D9444A" w:rsidRDefault="00BA6CD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0" w:rsidRPr="00D9444A" w:rsidRDefault="00BA6CD0" w:rsidP="009C1F3F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BA6CD0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0" w:rsidRPr="00D9444A" w:rsidRDefault="00BA6CD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0" w:rsidRPr="00D9444A" w:rsidRDefault="00BA6CD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0" w:rsidRPr="00F07CAC" w:rsidRDefault="00BA6CD0" w:rsidP="009C1F3F">
            <w:pPr>
              <w:jc w:val="both"/>
              <w:rPr>
                <w:color w:val="000000"/>
                <w:sz w:val="20"/>
                <w:szCs w:val="20"/>
              </w:rPr>
            </w:pPr>
            <w:r w:rsidRPr="00F07CAC">
              <w:rPr>
                <w:color w:val="000000"/>
                <w:sz w:val="20"/>
                <w:szCs w:val="20"/>
              </w:rPr>
              <w:t>Экспоненц</w:t>
            </w:r>
            <w:r w:rsidRPr="00953483">
              <w:rPr>
                <w:color w:val="000000"/>
                <w:sz w:val="20"/>
                <w:szCs w:val="20"/>
              </w:rPr>
              <w:t>иальная</w:t>
            </w:r>
            <w:r w:rsidRPr="00F07CAC">
              <w:rPr>
                <w:color w:val="000000"/>
                <w:sz w:val="20"/>
                <w:szCs w:val="20"/>
              </w:rPr>
              <w:t xml:space="preserve"> </w:t>
            </w:r>
            <w:r w:rsidRPr="00640A8D">
              <w:rPr>
                <w:sz w:val="20"/>
                <w:szCs w:val="20"/>
              </w:rPr>
              <w:t xml:space="preserve">(обоснование выбора модели: наименьшее значение средней ошибки аппроксимации, наибольшее значение коэффициента детерминации, наименьшее значение среднеквадратичной ошибки оценки), формула модели: </w:t>
            </w:r>
          </w:p>
          <w:p w:rsidR="00BA6CD0" w:rsidRPr="00F07CAC" w:rsidRDefault="00BA6CD0" w:rsidP="009C1F3F">
            <w:pPr>
              <w:jc w:val="both"/>
              <w:rPr>
                <w:color w:val="000000"/>
                <w:sz w:val="20"/>
                <w:szCs w:val="20"/>
              </w:rPr>
            </w:pPr>
            <w:r w:rsidRPr="00FD0BDD">
              <w:rPr>
                <w:color w:val="000000"/>
                <w:sz w:val="20"/>
                <w:szCs w:val="20"/>
              </w:rPr>
              <w:t>УПКС = 2153.84690165*e^(+0.00008565*((6042.36+392.392-_Расстояние до административного центра населенного пункта))+0.00037694*((512.11+2.285-_Расстояние до ближайшей из основных дорог города))+0.00006667*((3487.826+139.129-_Расстояние до коммерческих центров г. Орла))+0.03971275*([_Районы города Орла]))*</w:t>
            </w:r>
            <w:r>
              <w:rPr>
                <w:color w:val="000000"/>
                <w:sz w:val="20"/>
                <w:szCs w:val="20"/>
              </w:rPr>
              <w:t>0,56 (</w:t>
            </w:r>
            <w:r w:rsidRPr="00FD0BDD">
              <w:rPr>
                <w:color w:val="000000"/>
                <w:sz w:val="20"/>
                <w:szCs w:val="20"/>
              </w:rPr>
              <w:t>корректировка на вид использования для объединенной группы 4.3</w:t>
            </w:r>
            <w:r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BA6CD0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0" w:rsidRPr="00D9444A" w:rsidRDefault="00BA6CD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0" w:rsidRPr="00D9444A" w:rsidRDefault="00BA6CD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0" w:rsidRDefault="00BA6CD0" w:rsidP="009C1F3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Общественное использование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  <w:p w:rsidR="00BA6CD0" w:rsidRPr="00D9444A" w:rsidRDefault="00BA6CD0" w:rsidP="009C1F3F">
            <w:pPr>
              <w:jc w:val="both"/>
              <w:rPr>
                <w:color w:val="000000"/>
                <w:sz w:val="20"/>
                <w:szCs w:val="20"/>
              </w:rPr>
            </w:pPr>
            <w:r w:rsidRPr="006444F5">
              <w:rPr>
                <w:color w:val="000000"/>
                <w:sz w:val="20"/>
              </w:rPr>
              <w:t xml:space="preserve">В связи с отсутствием развитого рынка земельных участков для объектов, которые в соответствии </w:t>
            </w:r>
            <w:r w:rsidRPr="006444F5">
              <w:rPr>
                <w:color w:val="000000"/>
                <w:sz w:val="20"/>
                <w:szCs w:val="20"/>
              </w:rPr>
              <w:t>с Методическими указаниями о государственной кадастровой оценке, утв. Приказом Минэкономразвития России от 12.05.2017 г. №226,</w:t>
            </w:r>
            <w:r w:rsidRPr="006444F5">
              <w:rPr>
                <w:color w:val="FF0000"/>
                <w:sz w:val="20"/>
              </w:rPr>
              <w:t xml:space="preserve"> </w:t>
            </w:r>
            <w:r w:rsidRPr="006444F5">
              <w:rPr>
                <w:color w:val="000000"/>
                <w:sz w:val="20"/>
              </w:rPr>
              <w:t xml:space="preserve">относятся к сегменту </w:t>
            </w:r>
            <w:r>
              <w:rPr>
                <w:color w:val="000000"/>
                <w:sz w:val="20"/>
              </w:rPr>
              <w:t>3</w:t>
            </w:r>
            <w:r w:rsidRPr="006444F5">
              <w:rPr>
                <w:color w:val="000000"/>
                <w:sz w:val="20"/>
              </w:rPr>
              <w:t xml:space="preserve"> «</w:t>
            </w:r>
            <w:r>
              <w:rPr>
                <w:color w:val="000000"/>
                <w:sz w:val="20"/>
              </w:rPr>
              <w:t>Общественное использование</w:t>
            </w:r>
            <w:r w:rsidRPr="006444F5">
              <w:rPr>
                <w:color w:val="000000"/>
                <w:sz w:val="20"/>
              </w:rPr>
              <w:t>» к базовому сегменту 4 «Предпринимательство» применяется корректировка на вид использования.</w:t>
            </w:r>
          </w:p>
        </w:tc>
      </w:tr>
      <w:tr w:rsidR="00BA6CD0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0" w:rsidRPr="00D9444A" w:rsidRDefault="00BA6CD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0" w:rsidRPr="00D9444A" w:rsidRDefault="00BA6CD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0" w:rsidRPr="00D9444A" w:rsidRDefault="00BA6CD0" w:rsidP="009C1F3F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>: 03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>
              <w:rPr>
                <w:color w:val="000000"/>
                <w:sz w:val="20"/>
                <w:szCs w:val="20"/>
              </w:rPr>
              <w:t>81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Общественное управление. Размещение ОКС,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BA6CD0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0" w:rsidRPr="00D9444A" w:rsidRDefault="00BA6CD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0" w:rsidRPr="00D9444A" w:rsidRDefault="00BA6CD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D0" w:rsidRPr="00D9444A" w:rsidRDefault="00BA6CD0" w:rsidP="009C1F3F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  <w:r>
              <w:rPr>
                <w:color w:val="000000"/>
                <w:sz w:val="20"/>
                <w:szCs w:val="20"/>
              </w:rPr>
              <w:t xml:space="preserve"> с учетом корректировки на вид использования</w:t>
            </w:r>
          </w:p>
        </w:tc>
      </w:tr>
    </w:tbl>
    <w:p w:rsidR="00122EAC" w:rsidRDefault="00122EAC" w:rsidP="00122EAC">
      <w:pPr>
        <w:rPr>
          <w:sz w:val="16"/>
          <w:szCs w:val="16"/>
        </w:rPr>
      </w:pPr>
    </w:p>
    <w:p w:rsidR="00804206" w:rsidRDefault="00804206" w:rsidP="00122EAC">
      <w:pPr>
        <w:rPr>
          <w:sz w:val="16"/>
          <w:szCs w:val="16"/>
        </w:rPr>
      </w:pPr>
    </w:p>
    <w:p w:rsidR="00804206" w:rsidRPr="006B5FEB" w:rsidRDefault="00804206" w:rsidP="00122EAC">
      <w:pPr>
        <w:rPr>
          <w:sz w:val="16"/>
          <w:szCs w:val="16"/>
        </w:rPr>
      </w:pPr>
    </w:p>
    <w:p w:rsidR="00122EAC" w:rsidRDefault="00122EAC" w:rsidP="009014C1">
      <w:pPr>
        <w:spacing w:after="6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804206" w:rsidRDefault="00804206" w:rsidP="00B8532F">
      <w:pPr>
        <w:jc w:val="both"/>
        <w:rPr>
          <w:color w:val="000000"/>
        </w:rPr>
      </w:pPr>
    </w:p>
    <w:p w:rsidR="00B8532F" w:rsidRDefault="00B8532F" w:rsidP="00B8532F">
      <w:pPr>
        <w:jc w:val="both"/>
        <w:rPr>
          <w:color w:val="000000"/>
        </w:rPr>
      </w:pPr>
      <w:r>
        <w:rPr>
          <w:color w:val="000000"/>
        </w:rPr>
        <w:t xml:space="preserve">Дополнительная информация: При рассмотрении обращения о предоставлении разъяснений, связанных с определением кадастровой стоимости, выявлена арифметическая ошибка. </w:t>
      </w:r>
    </w:p>
    <w:p w:rsidR="00804206" w:rsidRDefault="00B8532F" w:rsidP="00B8532F">
      <w:pPr>
        <w:spacing w:after="120"/>
        <w:jc w:val="both"/>
        <w:rPr>
          <w:color w:val="000000"/>
        </w:rPr>
      </w:pPr>
      <w:r w:rsidRPr="00116F8B">
        <w:rPr>
          <w:color w:val="000000"/>
        </w:rPr>
        <w:t>В соответствии с част</w:t>
      </w:r>
      <w:r w:rsidR="00804206">
        <w:rPr>
          <w:color w:val="000000"/>
        </w:rPr>
        <w:t>ью</w:t>
      </w:r>
      <w:r w:rsidRPr="00116F8B">
        <w:rPr>
          <w:color w:val="000000"/>
        </w:rPr>
        <w:t xml:space="preserve"> 7 ст. 20 Федерального закона № 237 от 03.07.2016 г. «О государственной кадастровой оценке» в случае выявления ошибок, допущенных при определении кадастровой стоимости, они подлежат исправлению по решению бюджетного учреждения. </w:t>
      </w:r>
    </w:p>
    <w:p w:rsidR="009C1F3F" w:rsidRDefault="00804206" w:rsidP="00B8532F">
      <w:pPr>
        <w:spacing w:after="120"/>
        <w:jc w:val="both"/>
        <w:rPr>
          <w:color w:val="000000"/>
        </w:rPr>
      </w:pPr>
      <w:r w:rsidRPr="00116F8B">
        <w:rPr>
          <w:color w:val="000000"/>
        </w:rPr>
        <w:t>При этом</w:t>
      </w:r>
      <w:r w:rsidRPr="0069313D">
        <w:t xml:space="preserve"> </w:t>
      </w:r>
      <w:r>
        <w:t>в соответствии с частью</w:t>
      </w:r>
      <w:r w:rsidRPr="0069313D">
        <w:t xml:space="preserve"> 16 ст. 21 Федерального закона № 237-ФЗ от 03.07.2016 г. «О государ</w:t>
      </w:r>
      <w:r>
        <w:t>ственной кадастровой оценке»</w:t>
      </w:r>
      <w:r w:rsidRPr="0069313D">
        <w:t xml:space="preserve"> </w:t>
      </w:r>
      <w:r>
        <w:t xml:space="preserve">(в ред. Федерального закона от 29.07.2017 г. № 274-ФЗ, действующая редакция) допускается изменение кадастровой стоимости, определенной после </w:t>
      </w:r>
      <w:r>
        <w:lastRenderedPageBreak/>
        <w:t>исправления ошибок</w:t>
      </w:r>
      <w:r w:rsidR="00B8532F" w:rsidRPr="00116F8B">
        <w:rPr>
          <w:color w:val="000000"/>
        </w:rPr>
        <w:t>, только в сторону понижения. Решение бюджетного учреждения о пересчете кадастровой стоимости будет направлено в адрес заявителя и правообладателей дополнительно.</w:t>
      </w:r>
    </w:p>
    <w:p w:rsidR="00B8532F" w:rsidRDefault="00B8532F" w:rsidP="00B8532F">
      <w:pPr>
        <w:spacing w:after="120"/>
        <w:jc w:val="both"/>
        <w:rPr>
          <w:color w:val="000000"/>
          <w:sz w:val="12"/>
          <w:szCs w:val="12"/>
        </w:rPr>
      </w:pPr>
    </w:p>
    <w:p w:rsidR="005D3078" w:rsidRDefault="005D3078" w:rsidP="00B8532F">
      <w:pPr>
        <w:spacing w:after="120"/>
        <w:jc w:val="both"/>
        <w:rPr>
          <w:color w:val="000000"/>
          <w:sz w:val="12"/>
          <w:szCs w:val="12"/>
        </w:rPr>
      </w:pPr>
    </w:p>
    <w:p w:rsidR="005D3078" w:rsidRPr="00B8532F" w:rsidRDefault="005D3078" w:rsidP="00B8532F">
      <w:pPr>
        <w:spacing w:after="120"/>
        <w:jc w:val="both"/>
        <w:rPr>
          <w:color w:val="000000"/>
          <w:sz w:val="12"/>
          <w:szCs w:val="1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proofErr w:type="spellStart"/>
            <w:r w:rsidR="00243581">
              <w:rPr>
                <w:color w:val="000000"/>
              </w:rPr>
              <w:t>Берлинова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F10DFC" w:rsidRDefault="00F10DFC" w:rsidP="002A417A">
            <w:pPr>
              <w:rPr>
                <w:color w:val="000000"/>
                <w:sz w:val="16"/>
                <w:szCs w:val="16"/>
              </w:rPr>
            </w:pPr>
          </w:p>
          <w:p w:rsidR="005D3078" w:rsidRPr="00B8532F" w:rsidRDefault="005D3078" w:rsidP="002A41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F10DFC" w:rsidRDefault="00F10DFC" w:rsidP="002A417A">
            <w:pPr>
              <w:rPr>
                <w:color w:val="000000"/>
                <w:sz w:val="16"/>
              </w:rPr>
            </w:pPr>
          </w:p>
          <w:p w:rsidR="009014C1" w:rsidRDefault="009014C1" w:rsidP="002A417A">
            <w:pPr>
              <w:rPr>
                <w:color w:val="000000"/>
                <w:sz w:val="16"/>
              </w:rPr>
            </w:pPr>
          </w:p>
          <w:p w:rsidR="005D3078" w:rsidRPr="004C2EC4" w:rsidRDefault="005D3078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F10DFC" w:rsidTr="00693F59">
        <w:tc>
          <w:tcPr>
            <w:tcW w:w="3227" w:type="dxa"/>
          </w:tcPr>
          <w:p w:rsidR="00F10DFC" w:rsidRPr="005453C7" w:rsidRDefault="00F10DFC" w:rsidP="00693F59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F10DFC" w:rsidRPr="005453C7" w:rsidRDefault="00F10DFC" w:rsidP="00693F59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10DFC" w:rsidRPr="005453C7" w:rsidRDefault="00F10DFC" w:rsidP="00693F59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10DFC" w:rsidRPr="005453C7" w:rsidRDefault="00F10DFC" w:rsidP="00693F59">
            <w:pPr>
              <w:jc w:val="both"/>
              <w:rPr>
                <w:color w:val="000000"/>
              </w:rPr>
            </w:pPr>
            <w:r w:rsidRPr="005453C7">
              <w:rPr>
                <w:color w:val="000000"/>
              </w:rPr>
              <w:t>/</w:t>
            </w:r>
            <w:r w:rsidRPr="002533A9">
              <w:rPr>
                <w:color w:val="000000"/>
              </w:rPr>
              <w:t xml:space="preserve">С.Г. </w:t>
            </w:r>
            <w:r w:rsidRPr="005E24D3">
              <w:rPr>
                <w:color w:val="000000"/>
              </w:rPr>
              <w:t>Оганесян/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3265EB" w:rsidRPr="009014C1" w:rsidRDefault="003265EB" w:rsidP="00737AE6">
            <w:pPr>
              <w:jc w:val="both"/>
              <w:rPr>
                <w:color w:val="000000"/>
                <w:sz w:val="12"/>
                <w:szCs w:val="12"/>
              </w:rPr>
            </w:pPr>
          </w:p>
          <w:p w:rsidR="009014C1" w:rsidRDefault="009014C1" w:rsidP="00737AE6">
            <w:pPr>
              <w:jc w:val="both"/>
              <w:rPr>
                <w:color w:val="000000"/>
              </w:rPr>
            </w:pPr>
          </w:p>
          <w:p w:rsidR="005D3078" w:rsidRDefault="005D3078" w:rsidP="00737AE6">
            <w:pPr>
              <w:jc w:val="both"/>
              <w:rPr>
                <w:color w:val="000000"/>
              </w:rPr>
            </w:pPr>
          </w:p>
          <w:p w:rsidR="00122EAC" w:rsidRDefault="00737AE6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3265EB" w:rsidRPr="009014C1" w:rsidRDefault="003265EB" w:rsidP="00737AE6">
            <w:pPr>
              <w:jc w:val="both"/>
              <w:rPr>
                <w:color w:val="000000"/>
                <w:sz w:val="12"/>
                <w:szCs w:val="12"/>
              </w:rPr>
            </w:pPr>
          </w:p>
          <w:p w:rsidR="009014C1" w:rsidRDefault="009014C1" w:rsidP="00737AE6">
            <w:pPr>
              <w:jc w:val="both"/>
              <w:rPr>
                <w:color w:val="000000"/>
              </w:rPr>
            </w:pPr>
          </w:p>
          <w:p w:rsidR="005D3078" w:rsidRDefault="005D3078" w:rsidP="00737AE6">
            <w:pPr>
              <w:jc w:val="both"/>
              <w:rPr>
                <w:color w:val="000000"/>
              </w:rPr>
            </w:pPr>
          </w:p>
          <w:p w:rsidR="00122EAC" w:rsidRDefault="00122EAC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737AE6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737AE6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737AE6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6153E"/>
    <w:rsid w:val="00062F50"/>
    <w:rsid w:val="000955DF"/>
    <w:rsid w:val="00095B2D"/>
    <w:rsid w:val="000967D0"/>
    <w:rsid w:val="000A09FD"/>
    <w:rsid w:val="000A1098"/>
    <w:rsid w:val="000B2881"/>
    <w:rsid w:val="000C1C4B"/>
    <w:rsid w:val="000C72C4"/>
    <w:rsid w:val="000C7D3B"/>
    <w:rsid w:val="000E254D"/>
    <w:rsid w:val="000F1398"/>
    <w:rsid w:val="00122EAC"/>
    <w:rsid w:val="00127D8C"/>
    <w:rsid w:val="0013153E"/>
    <w:rsid w:val="00155D0E"/>
    <w:rsid w:val="00157FF0"/>
    <w:rsid w:val="00176381"/>
    <w:rsid w:val="0018497F"/>
    <w:rsid w:val="00185FF3"/>
    <w:rsid w:val="001868E4"/>
    <w:rsid w:val="001923CE"/>
    <w:rsid w:val="0019585E"/>
    <w:rsid w:val="00197D86"/>
    <w:rsid w:val="001B2248"/>
    <w:rsid w:val="001B4521"/>
    <w:rsid w:val="001C3BA3"/>
    <w:rsid w:val="001D2D0D"/>
    <w:rsid w:val="001E21B7"/>
    <w:rsid w:val="001F4A07"/>
    <w:rsid w:val="0020074A"/>
    <w:rsid w:val="00204FCC"/>
    <w:rsid w:val="00210D93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67685"/>
    <w:rsid w:val="002713F7"/>
    <w:rsid w:val="00272938"/>
    <w:rsid w:val="00274845"/>
    <w:rsid w:val="00287B96"/>
    <w:rsid w:val="002912D5"/>
    <w:rsid w:val="002A417A"/>
    <w:rsid w:val="002B625A"/>
    <w:rsid w:val="002E0EC0"/>
    <w:rsid w:val="002E7892"/>
    <w:rsid w:val="003265EB"/>
    <w:rsid w:val="00346FAB"/>
    <w:rsid w:val="003521F0"/>
    <w:rsid w:val="00352D4E"/>
    <w:rsid w:val="0035441C"/>
    <w:rsid w:val="00357C0C"/>
    <w:rsid w:val="0036230A"/>
    <w:rsid w:val="003631DF"/>
    <w:rsid w:val="003644A8"/>
    <w:rsid w:val="00370445"/>
    <w:rsid w:val="00373292"/>
    <w:rsid w:val="00375D63"/>
    <w:rsid w:val="0038070A"/>
    <w:rsid w:val="00394506"/>
    <w:rsid w:val="00396C15"/>
    <w:rsid w:val="003A4D06"/>
    <w:rsid w:val="003A4D34"/>
    <w:rsid w:val="003B04B0"/>
    <w:rsid w:val="003C2FB7"/>
    <w:rsid w:val="003C492C"/>
    <w:rsid w:val="003E510D"/>
    <w:rsid w:val="00404F60"/>
    <w:rsid w:val="0040522D"/>
    <w:rsid w:val="0041657C"/>
    <w:rsid w:val="004253FC"/>
    <w:rsid w:val="00426772"/>
    <w:rsid w:val="00426F9D"/>
    <w:rsid w:val="00431F89"/>
    <w:rsid w:val="004759CC"/>
    <w:rsid w:val="00476D36"/>
    <w:rsid w:val="004863F1"/>
    <w:rsid w:val="00487CD0"/>
    <w:rsid w:val="00492CBE"/>
    <w:rsid w:val="00493D24"/>
    <w:rsid w:val="00493F97"/>
    <w:rsid w:val="00495E7E"/>
    <w:rsid w:val="004B43DC"/>
    <w:rsid w:val="004C2CB4"/>
    <w:rsid w:val="004C330C"/>
    <w:rsid w:val="004F02ED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86CC8"/>
    <w:rsid w:val="00590BEC"/>
    <w:rsid w:val="00590FBC"/>
    <w:rsid w:val="00591261"/>
    <w:rsid w:val="005A0502"/>
    <w:rsid w:val="005B3207"/>
    <w:rsid w:val="005C094F"/>
    <w:rsid w:val="005D0458"/>
    <w:rsid w:val="005D3078"/>
    <w:rsid w:val="005D581D"/>
    <w:rsid w:val="00602F75"/>
    <w:rsid w:val="00604DF6"/>
    <w:rsid w:val="00623500"/>
    <w:rsid w:val="00627840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6F7D"/>
    <w:rsid w:val="00684007"/>
    <w:rsid w:val="00691F42"/>
    <w:rsid w:val="00693DB6"/>
    <w:rsid w:val="006A645C"/>
    <w:rsid w:val="006B17D2"/>
    <w:rsid w:val="006B5FEB"/>
    <w:rsid w:val="006C1463"/>
    <w:rsid w:val="006D0B3D"/>
    <w:rsid w:val="006E7E7B"/>
    <w:rsid w:val="006F3E2D"/>
    <w:rsid w:val="006F4159"/>
    <w:rsid w:val="00713F1D"/>
    <w:rsid w:val="00726253"/>
    <w:rsid w:val="007322A5"/>
    <w:rsid w:val="00733152"/>
    <w:rsid w:val="0073530C"/>
    <w:rsid w:val="00735F73"/>
    <w:rsid w:val="00737AE6"/>
    <w:rsid w:val="007471FD"/>
    <w:rsid w:val="00757463"/>
    <w:rsid w:val="00757A9C"/>
    <w:rsid w:val="007A30A4"/>
    <w:rsid w:val="007A65D5"/>
    <w:rsid w:val="007B3837"/>
    <w:rsid w:val="007C42C0"/>
    <w:rsid w:val="007D1621"/>
    <w:rsid w:val="007D2525"/>
    <w:rsid w:val="007D3A0B"/>
    <w:rsid w:val="007D7766"/>
    <w:rsid w:val="007F5FE2"/>
    <w:rsid w:val="007F7806"/>
    <w:rsid w:val="00804206"/>
    <w:rsid w:val="008044B4"/>
    <w:rsid w:val="008128E2"/>
    <w:rsid w:val="0082301E"/>
    <w:rsid w:val="00825A47"/>
    <w:rsid w:val="0084127B"/>
    <w:rsid w:val="00842CCA"/>
    <w:rsid w:val="008456B3"/>
    <w:rsid w:val="00856211"/>
    <w:rsid w:val="00856D76"/>
    <w:rsid w:val="008572E8"/>
    <w:rsid w:val="008606CE"/>
    <w:rsid w:val="00861CF4"/>
    <w:rsid w:val="00863182"/>
    <w:rsid w:val="00865A13"/>
    <w:rsid w:val="00872B84"/>
    <w:rsid w:val="008943A5"/>
    <w:rsid w:val="00894B8A"/>
    <w:rsid w:val="008A0F90"/>
    <w:rsid w:val="008C2489"/>
    <w:rsid w:val="008D2583"/>
    <w:rsid w:val="009009BD"/>
    <w:rsid w:val="009014C1"/>
    <w:rsid w:val="009052E2"/>
    <w:rsid w:val="009148B7"/>
    <w:rsid w:val="00917C6F"/>
    <w:rsid w:val="00927075"/>
    <w:rsid w:val="00953483"/>
    <w:rsid w:val="00960774"/>
    <w:rsid w:val="0097743B"/>
    <w:rsid w:val="009806B3"/>
    <w:rsid w:val="009862A0"/>
    <w:rsid w:val="00986F47"/>
    <w:rsid w:val="009A370D"/>
    <w:rsid w:val="009A7FFD"/>
    <w:rsid w:val="009B1764"/>
    <w:rsid w:val="009C1F3F"/>
    <w:rsid w:val="009C3327"/>
    <w:rsid w:val="009C74DB"/>
    <w:rsid w:val="009E1378"/>
    <w:rsid w:val="009F1F95"/>
    <w:rsid w:val="00A07063"/>
    <w:rsid w:val="00A07676"/>
    <w:rsid w:val="00A22117"/>
    <w:rsid w:val="00A32EB2"/>
    <w:rsid w:val="00A3737B"/>
    <w:rsid w:val="00A526CE"/>
    <w:rsid w:val="00A7587D"/>
    <w:rsid w:val="00A805AD"/>
    <w:rsid w:val="00A8164D"/>
    <w:rsid w:val="00AA26E7"/>
    <w:rsid w:val="00AA5BC0"/>
    <w:rsid w:val="00AB2C7E"/>
    <w:rsid w:val="00AB2F80"/>
    <w:rsid w:val="00AB5F7B"/>
    <w:rsid w:val="00AC60EA"/>
    <w:rsid w:val="00AD58FE"/>
    <w:rsid w:val="00AF29F1"/>
    <w:rsid w:val="00AF5C7A"/>
    <w:rsid w:val="00AF7D4B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5C2B"/>
    <w:rsid w:val="00B6131F"/>
    <w:rsid w:val="00B70912"/>
    <w:rsid w:val="00B73DFF"/>
    <w:rsid w:val="00B74E57"/>
    <w:rsid w:val="00B80689"/>
    <w:rsid w:val="00B8532F"/>
    <w:rsid w:val="00B941E8"/>
    <w:rsid w:val="00BA0BFF"/>
    <w:rsid w:val="00BA6CD0"/>
    <w:rsid w:val="00BB1E10"/>
    <w:rsid w:val="00BD12DE"/>
    <w:rsid w:val="00BD44C8"/>
    <w:rsid w:val="00BE15D5"/>
    <w:rsid w:val="00BF77E1"/>
    <w:rsid w:val="00C21A4A"/>
    <w:rsid w:val="00C21DD0"/>
    <w:rsid w:val="00C312BC"/>
    <w:rsid w:val="00C40528"/>
    <w:rsid w:val="00C466B3"/>
    <w:rsid w:val="00C47246"/>
    <w:rsid w:val="00C57359"/>
    <w:rsid w:val="00C71114"/>
    <w:rsid w:val="00C717B6"/>
    <w:rsid w:val="00C86B26"/>
    <w:rsid w:val="00C92209"/>
    <w:rsid w:val="00CA04E1"/>
    <w:rsid w:val="00CA521F"/>
    <w:rsid w:val="00CA66BB"/>
    <w:rsid w:val="00CB3AAF"/>
    <w:rsid w:val="00CB563D"/>
    <w:rsid w:val="00CC3C23"/>
    <w:rsid w:val="00CD1269"/>
    <w:rsid w:val="00CE7002"/>
    <w:rsid w:val="00D037A4"/>
    <w:rsid w:val="00D12D6B"/>
    <w:rsid w:val="00D13206"/>
    <w:rsid w:val="00D158E2"/>
    <w:rsid w:val="00D17CFD"/>
    <w:rsid w:val="00D23A41"/>
    <w:rsid w:val="00D37569"/>
    <w:rsid w:val="00D42378"/>
    <w:rsid w:val="00D63E25"/>
    <w:rsid w:val="00D90A59"/>
    <w:rsid w:val="00D93623"/>
    <w:rsid w:val="00D942B3"/>
    <w:rsid w:val="00DA28B5"/>
    <w:rsid w:val="00DB2FA2"/>
    <w:rsid w:val="00DC006B"/>
    <w:rsid w:val="00DC5BC5"/>
    <w:rsid w:val="00DD36CD"/>
    <w:rsid w:val="00DD439B"/>
    <w:rsid w:val="00DD45ED"/>
    <w:rsid w:val="00E23975"/>
    <w:rsid w:val="00E35509"/>
    <w:rsid w:val="00E65723"/>
    <w:rsid w:val="00E70143"/>
    <w:rsid w:val="00E740D0"/>
    <w:rsid w:val="00E76C49"/>
    <w:rsid w:val="00E77B48"/>
    <w:rsid w:val="00E8149E"/>
    <w:rsid w:val="00EC06BB"/>
    <w:rsid w:val="00EC1C54"/>
    <w:rsid w:val="00EC3A1F"/>
    <w:rsid w:val="00EC7003"/>
    <w:rsid w:val="00ED53A0"/>
    <w:rsid w:val="00ED72F0"/>
    <w:rsid w:val="00EF3F1E"/>
    <w:rsid w:val="00EF5FA3"/>
    <w:rsid w:val="00F07CAC"/>
    <w:rsid w:val="00F10DFC"/>
    <w:rsid w:val="00F21AAF"/>
    <w:rsid w:val="00F228F6"/>
    <w:rsid w:val="00F2491C"/>
    <w:rsid w:val="00F275B9"/>
    <w:rsid w:val="00F530B1"/>
    <w:rsid w:val="00F56115"/>
    <w:rsid w:val="00F6268F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22A09-4FB1-4B01-BD1E-DCC8F15C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32</cp:revision>
  <cp:lastPrinted>2020-07-21T07:20:00Z</cp:lastPrinted>
  <dcterms:created xsi:type="dcterms:W3CDTF">2020-01-30T11:23:00Z</dcterms:created>
  <dcterms:modified xsi:type="dcterms:W3CDTF">2021-01-18T13:31:00Z</dcterms:modified>
</cp:coreProperties>
</file>