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F94651" w:rsidP="008D2583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мая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0010D1" w:rsidP="004759CC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843</w:t>
                  </w: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0010D1" w:rsidP="00604DF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23</w:t>
                  </w: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0010D1" w:rsidP="00604DF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апреля</w:t>
                  </w: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9F3F89" w:rsidRPr="009F3F89" w:rsidRDefault="009F3F89" w:rsidP="004759CC">
                  <w:pPr>
                    <w:tabs>
                      <w:tab w:val="left" w:pos="519"/>
                    </w:tabs>
                    <w:jc w:val="center"/>
                  </w:pPr>
                </w:p>
                <w:p w:rsidR="00B55C2B" w:rsidRPr="00B55C2B" w:rsidRDefault="00B55C2B" w:rsidP="00660739">
                  <w:pPr>
                    <w:tabs>
                      <w:tab w:val="left" w:pos="519"/>
                    </w:tabs>
                    <w:jc w:val="center"/>
                  </w:pPr>
                </w:p>
              </w:tc>
            </w:tr>
          </w:tbl>
          <w:p w:rsidR="00AB5F7B" w:rsidRPr="00B77282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349CD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CE4D99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F94651">
              <w:rPr>
                <w:b/>
                <w:bCs/>
                <w:color w:val="000000"/>
              </w:rPr>
              <w:t>8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552A21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</w:t>
      </w:r>
      <w:r w:rsidR="00BE79E9">
        <w:rPr>
          <w:color w:val="000000"/>
        </w:rPr>
        <w:t>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CE4D99">
        <w:rPr>
          <w:color w:val="000000"/>
        </w:rPr>
        <w:t>4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E79E9">
        <w:rPr>
          <w:b/>
          <w:bCs/>
          <w:color w:val="000000"/>
        </w:rPr>
        <w:t>20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</w:t>
      </w:r>
      <w:r w:rsidR="00BE79E9">
        <w:rPr>
          <w:b/>
          <w:bCs/>
          <w:color w:val="000000"/>
        </w:rPr>
        <w:t>80101</w:t>
      </w:r>
      <w:r w:rsidR="00B55C2B" w:rsidRPr="00B55C2B">
        <w:rPr>
          <w:b/>
          <w:bCs/>
          <w:color w:val="000000"/>
        </w:rPr>
        <w:t>:</w:t>
      </w:r>
      <w:r w:rsidR="00B77282">
        <w:rPr>
          <w:b/>
          <w:bCs/>
          <w:color w:val="000000"/>
        </w:rPr>
        <w:t>1</w:t>
      </w:r>
      <w:r w:rsidR="00BE79E9">
        <w:rPr>
          <w:b/>
          <w:bCs/>
          <w:color w:val="000000"/>
        </w:rPr>
        <w:t>9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660739" w:rsidRDefault="00660739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BE79E9" w:rsidP="00BE79E9">
            <w:pPr>
              <w:rPr>
                <w:color w:val="000000"/>
                <w:sz w:val="20"/>
              </w:rPr>
            </w:pPr>
            <w:r w:rsidRPr="00BE79E9">
              <w:rPr>
                <w:color w:val="000000"/>
                <w:sz w:val="20"/>
              </w:rPr>
              <w:t>5 487 300,00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552A21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внесения сведений о кадастровой стоимости в Единый </w:t>
            </w:r>
            <w:r w:rsidRPr="006B1CAF">
              <w:rPr>
                <w:sz w:val="20"/>
              </w:rPr>
              <w:lastRenderedPageBreak/>
              <w:t>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BE79E9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E9" w:rsidRPr="006B1CAF" w:rsidRDefault="00BE79E9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E9" w:rsidRPr="006B1CAF" w:rsidRDefault="00BE79E9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E9" w:rsidRPr="00CB5D29" w:rsidRDefault="00BE79E9" w:rsidP="00E04A9B">
            <w:pPr>
              <w:jc w:val="both"/>
              <w:rPr>
                <w:color w:val="000000"/>
                <w:sz w:val="20"/>
              </w:rPr>
            </w:pPr>
            <w:r w:rsidRPr="00CB5D29">
              <w:rPr>
                <w:color w:val="000000"/>
                <w:sz w:val="20"/>
              </w:rPr>
              <w:t>Инспекция Федеральной налоговой службы по г</w:t>
            </w:r>
            <w:proofErr w:type="gramStart"/>
            <w:r w:rsidRPr="00CB5D29">
              <w:rPr>
                <w:color w:val="000000"/>
                <w:sz w:val="20"/>
              </w:rPr>
              <w:t>.О</w:t>
            </w:r>
            <w:proofErr w:type="gramEnd"/>
            <w:r w:rsidRPr="00CB5D29">
              <w:rPr>
                <w:color w:val="000000"/>
                <w:sz w:val="20"/>
              </w:rPr>
              <w:t>рлу; 302025, г.Орел, Московское шоссе, д.119; тел. 8-800-222-22-22;</w:t>
            </w:r>
          </w:p>
          <w:p w:rsidR="00BE79E9" w:rsidRPr="00CB5D29" w:rsidRDefault="00BE79E9" w:rsidP="00E04A9B">
            <w:pPr>
              <w:jc w:val="both"/>
              <w:rPr>
                <w:color w:val="000000"/>
                <w:sz w:val="20"/>
              </w:rPr>
            </w:pPr>
            <w:r w:rsidRPr="00CB5D29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F16D3" w:rsidP="00157B4D">
            <w:pPr>
              <w:rPr>
                <w:color w:val="000000"/>
                <w:sz w:val="20"/>
                <w:szCs w:val="20"/>
              </w:rPr>
            </w:pPr>
            <w:r w:rsidRPr="000F16D3">
              <w:rPr>
                <w:color w:val="000000"/>
                <w:sz w:val="20"/>
                <w:szCs w:val="20"/>
              </w:rPr>
              <w:t>57:20:0080101:19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541D8" w:rsidP="00157B4D">
            <w:pPr>
              <w:jc w:val="both"/>
              <w:rPr>
                <w:color w:val="000000"/>
                <w:sz w:val="20"/>
                <w:szCs w:val="20"/>
              </w:rPr>
            </w:pPr>
            <w:r w:rsidRPr="005541D8">
              <w:rPr>
                <w:color w:val="000000"/>
                <w:sz w:val="20"/>
                <w:szCs w:val="20"/>
              </w:rPr>
              <w:t xml:space="preserve">Российская Федерация, Орловская область, р-н </w:t>
            </w:r>
            <w:proofErr w:type="spellStart"/>
            <w:r w:rsidRPr="005541D8">
              <w:rPr>
                <w:color w:val="000000"/>
                <w:sz w:val="20"/>
                <w:szCs w:val="20"/>
              </w:rPr>
              <w:t>Новодеревеньковский</w:t>
            </w:r>
            <w:proofErr w:type="spellEnd"/>
            <w:r w:rsidRPr="005541D8">
              <w:rPr>
                <w:color w:val="000000"/>
                <w:sz w:val="20"/>
                <w:szCs w:val="20"/>
              </w:rPr>
              <w:t>, с/</w:t>
            </w:r>
            <w:proofErr w:type="gramStart"/>
            <w:r w:rsidRPr="005541D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541D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41D8">
              <w:rPr>
                <w:color w:val="000000"/>
                <w:sz w:val="20"/>
                <w:szCs w:val="20"/>
              </w:rPr>
              <w:t>Никитинское</w:t>
            </w:r>
            <w:proofErr w:type="spellEnd"/>
            <w:r w:rsidRPr="005541D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541D8">
              <w:rPr>
                <w:color w:val="000000"/>
                <w:sz w:val="20"/>
                <w:szCs w:val="20"/>
              </w:rPr>
              <w:t>Пискаревско-Карасевское</w:t>
            </w:r>
            <w:proofErr w:type="spellEnd"/>
            <w:r w:rsidRPr="005541D8">
              <w:rPr>
                <w:color w:val="000000"/>
                <w:sz w:val="20"/>
                <w:szCs w:val="20"/>
              </w:rPr>
              <w:t xml:space="preserve"> месторождение известняка</w:t>
            </w:r>
          </w:p>
        </w:tc>
      </w:tr>
      <w:tr w:rsidR="005541D8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9052E2" w:rsidRDefault="005541D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6D76D9" w:rsidRDefault="005541D8" w:rsidP="00E04A9B">
            <w:pPr>
              <w:jc w:val="both"/>
              <w:rPr>
                <w:color w:val="000000"/>
                <w:sz w:val="20"/>
                <w:szCs w:val="20"/>
              </w:rPr>
            </w:pPr>
            <w:r w:rsidRPr="006D76D9">
              <w:rPr>
                <w:color w:val="000000"/>
                <w:sz w:val="20"/>
                <w:szCs w:val="20"/>
              </w:rPr>
              <w:t>Объект расположен в зоне сел</w:t>
            </w:r>
            <w:r>
              <w:rPr>
                <w:color w:val="000000"/>
                <w:sz w:val="20"/>
                <w:szCs w:val="20"/>
              </w:rPr>
              <w:t>ьскохозяйственного производства</w:t>
            </w:r>
            <w:r w:rsidRPr="006D76D9">
              <w:rPr>
                <w:color w:val="000000"/>
                <w:sz w:val="20"/>
                <w:szCs w:val="20"/>
              </w:rPr>
              <w:t xml:space="preserve"> на удалении от населенных пунктов и объектов инфраструктуры, окружение – земли сельскохозяйственного назначения</w:t>
            </w:r>
          </w:p>
        </w:tc>
      </w:tr>
      <w:tr w:rsidR="005541D8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B74E57" w:rsidRDefault="005541D8" w:rsidP="00186183">
            <w:pPr>
              <w:rPr>
                <w:color w:val="000000"/>
                <w:sz w:val="20"/>
                <w:szCs w:val="20"/>
              </w:rPr>
            </w:pPr>
            <w:r w:rsidRPr="005541D8">
              <w:rPr>
                <w:color w:val="000000"/>
                <w:sz w:val="20"/>
                <w:szCs w:val="20"/>
              </w:rPr>
              <w:t>80400</w:t>
            </w:r>
            <w:r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F52F90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90" w:rsidRPr="008E10C2" w:rsidRDefault="00F52F9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90" w:rsidRPr="008E10C2" w:rsidRDefault="00F52F9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90" w:rsidRPr="008E10C2" w:rsidRDefault="00F52F90" w:rsidP="00E04A9B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B5D29">
              <w:rPr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5541D8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F52F90" w:rsidP="00CB5D29">
            <w:pPr>
              <w:jc w:val="both"/>
              <w:rPr>
                <w:color w:val="000000"/>
                <w:sz w:val="20"/>
                <w:szCs w:val="20"/>
              </w:rPr>
            </w:pPr>
            <w:r w:rsidRPr="00F52F90">
              <w:rPr>
                <w:color w:val="000000"/>
                <w:sz w:val="20"/>
                <w:szCs w:val="20"/>
              </w:rPr>
              <w:t>Для промышленной разработки строительного известняка</w:t>
            </w:r>
          </w:p>
        </w:tc>
      </w:tr>
      <w:tr w:rsidR="005541D8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5541D8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5541D8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5541D8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5541D8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5541D8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1D8" w:rsidRPr="008E10C2" w:rsidRDefault="005541D8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52F90" w:rsidRDefault="00F52F90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F52F90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90" w:rsidRPr="001143FD" w:rsidRDefault="00F52F90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90" w:rsidRPr="001143FD" w:rsidRDefault="00F52F90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90" w:rsidRPr="001143FD" w:rsidRDefault="00F52F90" w:rsidP="00E04A9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F52F90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90" w:rsidRPr="001143FD" w:rsidRDefault="00F52F90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90" w:rsidRPr="001143FD" w:rsidRDefault="00F52F90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90" w:rsidRPr="00687E2A" w:rsidRDefault="00F52F90" w:rsidP="00E04A9B">
            <w:pPr>
              <w:jc w:val="both"/>
              <w:rPr>
                <w:color w:val="000000"/>
                <w:sz w:val="20"/>
                <w:highlight w:val="yellow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является одним из наименьших на рынке земли и составляет на дату проведения кадастровой </w:t>
            </w:r>
            <w:r w:rsidRPr="00EC3F85">
              <w:rPr>
                <w:color w:val="000000"/>
                <w:sz w:val="20"/>
              </w:rPr>
              <w:t>стоимости 6%.</w:t>
            </w:r>
          </w:p>
          <w:p w:rsidR="00F52F90" w:rsidRPr="00685FF5" w:rsidRDefault="00F52F90" w:rsidP="00E04A9B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>В районах, удаленных от областного центра, данный сегмент рынка характеризуется низкой активностью, либо практически отсутствует.</w:t>
            </w:r>
            <w:r>
              <w:rPr>
                <w:color w:val="000000"/>
                <w:sz w:val="20"/>
              </w:rPr>
              <w:t xml:space="preserve"> </w:t>
            </w:r>
            <w:r w:rsidRPr="009B72E3">
              <w:rPr>
                <w:color w:val="000000"/>
                <w:sz w:val="20"/>
              </w:rPr>
              <w:t>Ценовой диапазон достаточно широк, что обусловлено различным набором характеристик, влияющих</w:t>
            </w:r>
            <w:r>
              <w:rPr>
                <w:color w:val="000000"/>
                <w:sz w:val="20"/>
              </w:rPr>
              <w:t xml:space="preserve"> на стоимость. </w:t>
            </w:r>
            <w:proofErr w:type="gramStart"/>
            <w:r>
              <w:rPr>
                <w:color w:val="000000"/>
                <w:sz w:val="20"/>
              </w:rPr>
              <w:t xml:space="preserve">Минимальные значения цен наблюдаются по объектам, удаленным от областного и районного центров с неразвитой транспортной и инженерной инфраструктурой. </w:t>
            </w:r>
            <w:proofErr w:type="gramEnd"/>
          </w:p>
          <w:p w:rsidR="00F52F90" w:rsidRPr="001143FD" w:rsidRDefault="00F52F90" w:rsidP="00E04A9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E04A9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F52F90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90" w:rsidRPr="00F15EF5" w:rsidRDefault="00F52F90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90" w:rsidRPr="00F15EF5" w:rsidRDefault="00F52F90" w:rsidP="00E04A9B">
            <w:pPr>
              <w:jc w:val="both"/>
              <w:rPr>
                <w:color w:val="000000"/>
                <w:sz w:val="20"/>
                <w:szCs w:val="20"/>
              </w:rPr>
            </w:pPr>
            <w:r w:rsidRPr="00020BA6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90" w:rsidRPr="00B53739" w:rsidRDefault="0035379B" w:rsidP="0035379B">
            <w:pPr>
              <w:jc w:val="center"/>
              <w:rPr>
                <w:color w:val="000000"/>
                <w:sz w:val="20"/>
                <w:szCs w:val="20"/>
              </w:rPr>
            </w:pPr>
            <w:r w:rsidRPr="0035379B">
              <w:rPr>
                <w:color w:val="000000"/>
                <w:sz w:val="20"/>
                <w:szCs w:val="20"/>
              </w:rPr>
              <w:t>9399 чел.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90" w:rsidRPr="00E04A9B" w:rsidRDefault="00F52F90" w:rsidP="00E04A9B">
            <w:pPr>
              <w:jc w:val="both"/>
              <w:rPr>
                <w:color w:val="000000"/>
                <w:sz w:val="20"/>
                <w:szCs w:val="20"/>
              </w:rPr>
            </w:pPr>
            <w:r w:rsidRPr="00E04A9B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E04A9B">
              <w:rPr>
                <w:color w:val="000000"/>
                <w:sz w:val="20"/>
                <w:szCs w:val="20"/>
              </w:rPr>
              <w:t>Новодеревеньковский</w:t>
            </w:r>
            <w:proofErr w:type="spellEnd"/>
            <w:r w:rsidRPr="00E04A9B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F52F90" w:rsidRPr="00E04A9B" w:rsidRDefault="00F52F90" w:rsidP="00E665B9">
            <w:pPr>
              <w:jc w:val="both"/>
              <w:rPr>
                <w:color w:val="000000"/>
                <w:sz w:val="20"/>
                <w:szCs w:val="20"/>
              </w:rPr>
            </w:pPr>
            <w:r w:rsidRPr="00E04A9B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6 сегмент</w:t>
            </w:r>
          </w:p>
        </w:tc>
      </w:tr>
      <w:tr w:rsidR="00F52F90" w:rsidRPr="00F15EF5" w:rsidTr="00135BFC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90" w:rsidRPr="00F15EF5" w:rsidRDefault="00F52F90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90" w:rsidRPr="00F15EF5" w:rsidRDefault="00F52F90" w:rsidP="00E04A9B">
            <w:pPr>
              <w:jc w:val="both"/>
              <w:rPr>
                <w:color w:val="000000"/>
                <w:sz w:val="20"/>
                <w:szCs w:val="20"/>
              </w:rPr>
            </w:pPr>
            <w:r w:rsidRPr="00020BA6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020BA6">
              <w:rPr>
                <w:color w:val="000000"/>
                <w:sz w:val="20"/>
                <w:szCs w:val="20"/>
              </w:rPr>
              <w:t>СНП_Расстояние</w:t>
            </w:r>
            <w:proofErr w:type="spellEnd"/>
            <w:r w:rsidRPr="00020BA6">
              <w:rPr>
                <w:color w:val="000000"/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90" w:rsidRPr="00F15EF5" w:rsidRDefault="00F77423" w:rsidP="00752F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F90" w:rsidRPr="00E04A9B" w:rsidRDefault="00F52F90" w:rsidP="00E04A9B">
            <w:pPr>
              <w:jc w:val="both"/>
              <w:rPr>
                <w:color w:val="000000"/>
                <w:sz w:val="20"/>
                <w:szCs w:val="20"/>
              </w:rPr>
            </w:pPr>
            <w:r w:rsidRPr="00E04A9B">
              <w:rPr>
                <w:color w:val="000000"/>
                <w:sz w:val="20"/>
                <w:szCs w:val="20"/>
              </w:rPr>
              <w:t xml:space="preserve">1) Отчет о ГКО Орловская область\1. Исходные данные\1.6 Исходные данные для ЦФ\Семантические факторы\Семантика СНП\ </w:t>
            </w:r>
            <w:proofErr w:type="spellStart"/>
            <w:r w:rsidRPr="00E04A9B">
              <w:rPr>
                <w:color w:val="000000"/>
                <w:sz w:val="20"/>
                <w:szCs w:val="20"/>
              </w:rPr>
              <w:t>Новодеревеньковский</w:t>
            </w:r>
            <w:proofErr w:type="spellEnd"/>
            <w:r w:rsidRPr="00E04A9B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F52F90" w:rsidRPr="00E04A9B" w:rsidRDefault="00F52F90" w:rsidP="00E04A9B">
            <w:pPr>
              <w:jc w:val="both"/>
              <w:rPr>
                <w:color w:val="000000"/>
                <w:sz w:val="20"/>
                <w:szCs w:val="20"/>
              </w:rPr>
            </w:pPr>
            <w:r w:rsidRPr="00E04A9B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6 сегмент</w:t>
            </w:r>
          </w:p>
        </w:tc>
      </w:tr>
    </w:tbl>
    <w:p w:rsidR="003855C7" w:rsidRDefault="003855C7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8B6180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E04A9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Способ определения кадастровой стоимости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lastRenderedPageBreak/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 xml:space="preserve">в связи с приоритетом данного способа </w:t>
            </w:r>
            <w:r w:rsidRPr="00D9444A">
              <w:rPr>
                <w:sz w:val="20"/>
                <w:szCs w:val="20"/>
              </w:rPr>
              <w:lastRenderedPageBreak/>
              <w:t>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DF10D2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D2" w:rsidRPr="00D9444A" w:rsidRDefault="00DF10D2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D2" w:rsidRPr="00D9444A" w:rsidRDefault="00DF10D2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D2" w:rsidRPr="00FD0BDD" w:rsidRDefault="00DF10D2" w:rsidP="00E04A9B">
            <w:pPr>
              <w:jc w:val="both"/>
              <w:rPr>
                <w:color w:val="000000"/>
                <w:sz w:val="20"/>
                <w:szCs w:val="20"/>
              </w:rPr>
            </w:pPr>
            <w:r w:rsidRPr="00A26BDD">
              <w:rPr>
                <w:sz w:val="20"/>
                <w:szCs w:val="20"/>
              </w:rPr>
              <w:t>Экспоненциальная (обоснование выбора модели: параметры модели удовлетворяют основным требованиям статистической значимости, а также устойчивости (сбалансированности)</w:t>
            </w:r>
            <w:r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A26BDD">
              <w:rPr>
                <w:sz w:val="20"/>
                <w:szCs w:val="20"/>
              </w:rPr>
              <w:t>)</w:t>
            </w:r>
            <w:r w:rsidRPr="00FD0BDD">
              <w:rPr>
                <w:color w:val="000000"/>
                <w:sz w:val="20"/>
                <w:szCs w:val="20"/>
              </w:rPr>
              <w:t xml:space="preserve">, формула модели: </w:t>
            </w:r>
          </w:p>
          <w:p w:rsidR="00DF10D2" w:rsidRPr="00FD0BDD" w:rsidRDefault="00DF10D2" w:rsidP="00E04A9B">
            <w:pPr>
              <w:jc w:val="both"/>
              <w:rPr>
                <w:color w:val="000000"/>
                <w:sz w:val="20"/>
                <w:szCs w:val="20"/>
              </w:rPr>
            </w:pPr>
            <w:r w:rsidRPr="00687E2A">
              <w:rPr>
                <w:color w:val="000000"/>
                <w:sz w:val="20"/>
                <w:szCs w:val="20"/>
              </w:rPr>
              <w:t>УПКС = 25.52426799*e^(+0.00004402*_Численность населения в муниципальном районе, городском округе+0.01899075*((132.70731707+-90.70731707-_СНП_Расстояние от населенного пункта до центра муниципального района, городского округа)))</w:t>
            </w:r>
            <w:r w:rsidRPr="00FD0B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F10D2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D2" w:rsidRPr="00D9444A" w:rsidRDefault="00DF10D2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D2" w:rsidRPr="00D9444A" w:rsidRDefault="00DF10D2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D2" w:rsidRPr="00D9444A" w:rsidRDefault="00DF10D2" w:rsidP="00E04A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F10D2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D2" w:rsidRPr="00D9444A" w:rsidRDefault="00DF10D2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D2" w:rsidRPr="00D9444A" w:rsidRDefault="00DF10D2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D2" w:rsidRPr="00D9444A" w:rsidRDefault="00DF10D2" w:rsidP="009016F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>: 06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865FD2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9016FB">
              <w:rPr>
                <w:color w:val="000000"/>
                <w:sz w:val="20"/>
                <w:szCs w:val="20"/>
              </w:rPr>
              <w:t>Строительная промышленность. Размещение ОКС,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DF10D2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D2" w:rsidRPr="00D9444A" w:rsidRDefault="00DF10D2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D2" w:rsidRPr="00D9444A" w:rsidRDefault="00DF10D2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D2" w:rsidRPr="00D9444A" w:rsidRDefault="00DF10D2" w:rsidP="00E04A9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Pr="00033767" w:rsidRDefault="00122EAC" w:rsidP="00122EAC">
      <w:pPr>
        <w:rPr>
          <w:sz w:val="16"/>
          <w:szCs w:val="16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374617" w:rsidRDefault="00374617" w:rsidP="00033767">
      <w:pPr>
        <w:jc w:val="both"/>
        <w:rPr>
          <w:color w:val="000000"/>
        </w:rPr>
      </w:pPr>
      <w:r>
        <w:rPr>
          <w:color w:val="000000"/>
        </w:rPr>
        <w:t xml:space="preserve">Дополнительная информация: При рассмотрении обращения о предоставлении разъяснений, связанных с определением кадастровой стоимости, выявлена единичная техническая ошибка – неверно присвоен код </w:t>
      </w:r>
      <w:r w:rsidRPr="005E24D3">
        <w:rPr>
          <w:color w:val="000000"/>
        </w:rPr>
        <w:t>расчета вида использования 06:0</w:t>
      </w:r>
      <w:r w:rsidR="00033767">
        <w:rPr>
          <w:color w:val="000000"/>
        </w:rPr>
        <w:t>6</w:t>
      </w:r>
      <w:r w:rsidRPr="005E24D3">
        <w:rPr>
          <w:color w:val="000000"/>
        </w:rPr>
        <w:t>0 «</w:t>
      </w:r>
      <w:r w:rsidR="00033767" w:rsidRPr="00033767">
        <w:rPr>
          <w:color w:val="000000"/>
        </w:rPr>
        <w:t>Строительная промышленность. Размещение ОКС,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</w:r>
      <w:r>
        <w:rPr>
          <w:color w:val="000000"/>
        </w:rPr>
        <w:t>»</w:t>
      </w:r>
      <w:r w:rsidRPr="005E24D3">
        <w:rPr>
          <w:color w:val="000000"/>
        </w:rPr>
        <w:t xml:space="preserve">. В </w:t>
      </w:r>
      <w:proofErr w:type="spellStart"/>
      <w:r w:rsidRPr="005E24D3">
        <w:rPr>
          <w:color w:val="000000"/>
        </w:rPr>
        <w:t>соотвествии</w:t>
      </w:r>
      <w:proofErr w:type="spellEnd"/>
      <w:r w:rsidRPr="005E24D3">
        <w:rPr>
          <w:color w:val="000000"/>
        </w:rPr>
        <w:t xml:space="preserve"> с фактическим разрешенным использованием объект оценки должен быть отнесен</w:t>
      </w:r>
      <w:r>
        <w:rPr>
          <w:color w:val="000000"/>
        </w:rPr>
        <w:t xml:space="preserve"> к объединенной группе 6.4 «Недропользование», код расчета вида использования 06:010 «Недропользование. Осуществление геологических изысканий, добыча недр открытым (карьеры, отвалы) способом».</w:t>
      </w:r>
    </w:p>
    <w:p w:rsidR="00374617" w:rsidRDefault="00374617" w:rsidP="00374617">
      <w:pPr>
        <w:spacing w:after="120"/>
        <w:jc w:val="both"/>
        <w:rPr>
          <w:color w:val="000000"/>
        </w:rPr>
      </w:pPr>
      <w:r w:rsidRPr="00116F8B">
        <w:rPr>
          <w:color w:val="000000"/>
        </w:rPr>
        <w:t>В соответствии с частями 7, 8 ст. 20 Федерального закона № 237 от 03.07.2016 г. «О государственной кадастровой оценке» в случае выявления ошибок, допущенных при определении кадастровой стоимости, они подлежат исправлению по решению бюджетного учреждения. При этом допускается изменение кадастровой стоимости, определенной после исправления ошибок, только в сторону понижения. Решение бюджетного учреждения о пересчете кадастровой стоимости будет направлено в адрес заявителя и правообладателей дополнительно.</w:t>
      </w:r>
    </w:p>
    <w:p w:rsidR="00122EAC" w:rsidRPr="00033767" w:rsidRDefault="00122EAC" w:rsidP="00122EAC">
      <w:pPr>
        <w:jc w:val="both"/>
        <w:rPr>
          <w:color w:val="000000"/>
          <w:sz w:val="12"/>
          <w:szCs w:val="1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Pr="005453C7" w:rsidRDefault="0041657C" w:rsidP="003C492C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Зам. начальника отдела ГКО</w:t>
            </w:r>
            <w:r w:rsidR="00122EAC" w:rsidRPr="005453C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243581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8044B4" w:rsidRPr="005453C7">
              <w:rPr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="00243581" w:rsidRPr="005453C7">
              <w:rPr>
                <w:color w:val="000000"/>
                <w:sz w:val="24"/>
                <w:szCs w:val="24"/>
              </w:rPr>
              <w:t>Берлинова</w:t>
            </w:r>
            <w:proofErr w:type="spellEnd"/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676221" w:rsidRPr="00033767" w:rsidRDefault="00676221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Pr="00033767" w:rsidRDefault="0064230E" w:rsidP="002A417A">
            <w:pPr>
              <w:rPr>
                <w:color w:val="000000"/>
                <w:sz w:val="12"/>
                <w:szCs w:val="12"/>
              </w:rPr>
            </w:pPr>
          </w:p>
          <w:p w:rsidR="00C468D9" w:rsidRPr="004C2EC4" w:rsidRDefault="00C468D9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Pr="005453C7" w:rsidRDefault="005E24D3" w:rsidP="002A417A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AC6784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5E24D3" w:rsidRPr="002533A9">
              <w:rPr>
                <w:color w:val="000000"/>
                <w:sz w:val="24"/>
                <w:szCs w:val="24"/>
              </w:rPr>
              <w:t xml:space="preserve">С.Г. </w:t>
            </w:r>
            <w:r w:rsidR="005E24D3" w:rsidRPr="005E24D3">
              <w:rPr>
                <w:color w:val="000000"/>
                <w:sz w:val="24"/>
                <w:szCs w:val="24"/>
              </w:rPr>
              <w:t>Оганесян</w:t>
            </w:r>
            <w:r w:rsidRPr="005E24D3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953483" w:rsidRPr="00033767" w:rsidRDefault="00953483" w:rsidP="002A417A">
            <w:pPr>
              <w:rPr>
                <w:color w:val="000000"/>
                <w:sz w:val="12"/>
                <w:szCs w:val="12"/>
              </w:rPr>
            </w:pPr>
          </w:p>
          <w:p w:rsidR="00C468D9" w:rsidRPr="00033767" w:rsidRDefault="00C468D9" w:rsidP="002A417A">
            <w:pPr>
              <w:rPr>
                <w:color w:val="000000"/>
                <w:sz w:val="12"/>
                <w:szCs w:val="12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5453C7" w:rsidRDefault="00737AE6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Д</w:t>
            </w:r>
            <w:r w:rsidR="00122EAC" w:rsidRPr="005453C7">
              <w:rPr>
                <w:color w:val="000000"/>
                <w:sz w:val="24"/>
                <w:szCs w:val="24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737AE6" w:rsidRPr="005453C7">
              <w:rPr>
                <w:color w:val="000000"/>
                <w:sz w:val="24"/>
                <w:szCs w:val="24"/>
              </w:rPr>
              <w:t>С</w:t>
            </w:r>
            <w:r w:rsidRPr="005453C7">
              <w:rPr>
                <w:color w:val="000000"/>
                <w:sz w:val="24"/>
                <w:szCs w:val="24"/>
              </w:rPr>
              <w:t>.</w:t>
            </w:r>
            <w:r w:rsidR="00737AE6" w:rsidRPr="005453C7">
              <w:rPr>
                <w:color w:val="000000"/>
                <w:sz w:val="24"/>
                <w:szCs w:val="24"/>
              </w:rPr>
              <w:t>Н</w:t>
            </w:r>
            <w:r w:rsidRPr="005453C7">
              <w:rPr>
                <w:color w:val="000000"/>
                <w:sz w:val="24"/>
                <w:szCs w:val="24"/>
              </w:rPr>
              <w:t xml:space="preserve">. </w:t>
            </w:r>
            <w:r w:rsidR="00737AE6" w:rsidRPr="005453C7">
              <w:rPr>
                <w:color w:val="000000"/>
                <w:sz w:val="24"/>
                <w:szCs w:val="24"/>
              </w:rPr>
              <w:t>Подрезов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10D1"/>
    <w:rsid w:val="00006B4C"/>
    <w:rsid w:val="00006CD9"/>
    <w:rsid w:val="00020BA6"/>
    <w:rsid w:val="00030789"/>
    <w:rsid w:val="00033767"/>
    <w:rsid w:val="00062F50"/>
    <w:rsid w:val="0006399E"/>
    <w:rsid w:val="00067FAF"/>
    <w:rsid w:val="000804FA"/>
    <w:rsid w:val="0009466B"/>
    <w:rsid w:val="000955DF"/>
    <w:rsid w:val="00095B2D"/>
    <w:rsid w:val="0009680B"/>
    <w:rsid w:val="000A09FD"/>
    <w:rsid w:val="000A1098"/>
    <w:rsid w:val="000B2881"/>
    <w:rsid w:val="000C1C4B"/>
    <w:rsid w:val="000C72C4"/>
    <w:rsid w:val="000C7D3B"/>
    <w:rsid w:val="000F1398"/>
    <w:rsid w:val="000F16D3"/>
    <w:rsid w:val="001139D5"/>
    <w:rsid w:val="00122EAC"/>
    <w:rsid w:val="0013153E"/>
    <w:rsid w:val="00135BFC"/>
    <w:rsid w:val="001530A4"/>
    <w:rsid w:val="00155D0E"/>
    <w:rsid w:val="00157B4D"/>
    <w:rsid w:val="00157FF0"/>
    <w:rsid w:val="00176381"/>
    <w:rsid w:val="00185FF3"/>
    <w:rsid w:val="00186183"/>
    <w:rsid w:val="001923CE"/>
    <w:rsid w:val="0019585E"/>
    <w:rsid w:val="00197D86"/>
    <w:rsid w:val="001A5CA1"/>
    <w:rsid w:val="001B2248"/>
    <w:rsid w:val="001B4521"/>
    <w:rsid w:val="001C3BA3"/>
    <w:rsid w:val="001C7BE0"/>
    <w:rsid w:val="001D1CB9"/>
    <w:rsid w:val="001D2D0D"/>
    <w:rsid w:val="001E21B7"/>
    <w:rsid w:val="001E70E5"/>
    <w:rsid w:val="001F4A07"/>
    <w:rsid w:val="0020074A"/>
    <w:rsid w:val="00211A42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2625"/>
    <w:rsid w:val="00272938"/>
    <w:rsid w:val="00274845"/>
    <w:rsid w:val="00287B96"/>
    <w:rsid w:val="002912D5"/>
    <w:rsid w:val="002A417A"/>
    <w:rsid w:val="002B1235"/>
    <w:rsid w:val="002B625A"/>
    <w:rsid w:val="002C5813"/>
    <w:rsid w:val="002E72EA"/>
    <w:rsid w:val="002E7892"/>
    <w:rsid w:val="00346FAB"/>
    <w:rsid w:val="003521F0"/>
    <w:rsid w:val="0035379B"/>
    <w:rsid w:val="0035441C"/>
    <w:rsid w:val="00357C0C"/>
    <w:rsid w:val="00360983"/>
    <w:rsid w:val="0036230A"/>
    <w:rsid w:val="003644A8"/>
    <w:rsid w:val="00370445"/>
    <w:rsid w:val="00374617"/>
    <w:rsid w:val="003801EA"/>
    <w:rsid w:val="0038070A"/>
    <w:rsid w:val="003855C7"/>
    <w:rsid w:val="00387289"/>
    <w:rsid w:val="00391CA2"/>
    <w:rsid w:val="00394506"/>
    <w:rsid w:val="00396C15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759CC"/>
    <w:rsid w:val="00476D36"/>
    <w:rsid w:val="004863F1"/>
    <w:rsid w:val="00492CBE"/>
    <w:rsid w:val="00493D24"/>
    <w:rsid w:val="00493F97"/>
    <w:rsid w:val="00495E7E"/>
    <w:rsid w:val="004962B0"/>
    <w:rsid w:val="004B43DC"/>
    <w:rsid w:val="004C330C"/>
    <w:rsid w:val="004E0823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453C7"/>
    <w:rsid w:val="00552A21"/>
    <w:rsid w:val="005541D8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B719E"/>
    <w:rsid w:val="005D0458"/>
    <w:rsid w:val="005D581D"/>
    <w:rsid w:val="005E24D3"/>
    <w:rsid w:val="00604DF6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0739"/>
    <w:rsid w:val="00662EC8"/>
    <w:rsid w:val="00667D8B"/>
    <w:rsid w:val="0067402B"/>
    <w:rsid w:val="00674CED"/>
    <w:rsid w:val="00676221"/>
    <w:rsid w:val="00680511"/>
    <w:rsid w:val="00684007"/>
    <w:rsid w:val="00687E2A"/>
    <w:rsid w:val="00693DB6"/>
    <w:rsid w:val="006A645C"/>
    <w:rsid w:val="006B17D2"/>
    <w:rsid w:val="006C1463"/>
    <w:rsid w:val="006D0B3D"/>
    <w:rsid w:val="006D76D9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2FDE"/>
    <w:rsid w:val="00757463"/>
    <w:rsid w:val="007A30A4"/>
    <w:rsid w:val="007A65D5"/>
    <w:rsid w:val="007D1621"/>
    <w:rsid w:val="007D2525"/>
    <w:rsid w:val="007D3A0B"/>
    <w:rsid w:val="007D7766"/>
    <w:rsid w:val="007F5FE2"/>
    <w:rsid w:val="007F7806"/>
    <w:rsid w:val="008044B4"/>
    <w:rsid w:val="008128E2"/>
    <w:rsid w:val="0082301E"/>
    <w:rsid w:val="00825A47"/>
    <w:rsid w:val="00826AEC"/>
    <w:rsid w:val="0084127B"/>
    <w:rsid w:val="00842CCA"/>
    <w:rsid w:val="00845149"/>
    <w:rsid w:val="008456B3"/>
    <w:rsid w:val="00856211"/>
    <w:rsid w:val="00856D76"/>
    <w:rsid w:val="008572E8"/>
    <w:rsid w:val="008606CE"/>
    <w:rsid w:val="00861CF4"/>
    <w:rsid w:val="00863182"/>
    <w:rsid w:val="00865A13"/>
    <w:rsid w:val="00865FD2"/>
    <w:rsid w:val="00872B84"/>
    <w:rsid w:val="008943A5"/>
    <w:rsid w:val="008A0F90"/>
    <w:rsid w:val="008A1661"/>
    <w:rsid w:val="008B1E7F"/>
    <w:rsid w:val="008B6180"/>
    <w:rsid w:val="008C2489"/>
    <w:rsid w:val="008D2583"/>
    <w:rsid w:val="009009BD"/>
    <w:rsid w:val="009016FB"/>
    <w:rsid w:val="009052E2"/>
    <w:rsid w:val="009148B7"/>
    <w:rsid w:val="00925214"/>
    <w:rsid w:val="00927075"/>
    <w:rsid w:val="00953483"/>
    <w:rsid w:val="00960774"/>
    <w:rsid w:val="0097743B"/>
    <w:rsid w:val="009806B3"/>
    <w:rsid w:val="009862A0"/>
    <w:rsid w:val="009A370D"/>
    <w:rsid w:val="009A7FFD"/>
    <w:rsid w:val="009B72E3"/>
    <w:rsid w:val="009C3327"/>
    <w:rsid w:val="009C3B11"/>
    <w:rsid w:val="009C74DB"/>
    <w:rsid w:val="009E0B2A"/>
    <w:rsid w:val="009E1378"/>
    <w:rsid w:val="009F1F95"/>
    <w:rsid w:val="009F3F89"/>
    <w:rsid w:val="00A07063"/>
    <w:rsid w:val="00A07676"/>
    <w:rsid w:val="00A10293"/>
    <w:rsid w:val="00A22117"/>
    <w:rsid w:val="00A32EB2"/>
    <w:rsid w:val="00A3737B"/>
    <w:rsid w:val="00A526CE"/>
    <w:rsid w:val="00A7417E"/>
    <w:rsid w:val="00A7587D"/>
    <w:rsid w:val="00A802E4"/>
    <w:rsid w:val="00A805AD"/>
    <w:rsid w:val="00A8164D"/>
    <w:rsid w:val="00A84CF3"/>
    <w:rsid w:val="00AA26E7"/>
    <w:rsid w:val="00AB2C7E"/>
    <w:rsid w:val="00AB5F7B"/>
    <w:rsid w:val="00AC60EA"/>
    <w:rsid w:val="00AC6784"/>
    <w:rsid w:val="00AD6ACF"/>
    <w:rsid w:val="00AF29F1"/>
    <w:rsid w:val="00AF5C7A"/>
    <w:rsid w:val="00B00CB0"/>
    <w:rsid w:val="00B05F7D"/>
    <w:rsid w:val="00B1037F"/>
    <w:rsid w:val="00B17FCF"/>
    <w:rsid w:val="00B17FDF"/>
    <w:rsid w:val="00B26C69"/>
    <w:rsid w:val="00B35446"/>
    <w:rsid w:val="00B35F3D"/>
    <w:rsid w:val="00B40CB3"/>
    <w:rsid w:val="00B42FB7"/>
    <w:rsid w:val="00B43552"/>
    <w:rsid w:val="00B55C2B"/>
    <w:rsid w:val="00B6131F"/>
    <w:rsid w:val="00B73DFF"/>
    <w:rsid w:val="00B74E57"/>
    <w:rsid w:val="00B77282"/>
    <w:rsid w:val="00B80689"/>
    <w:rsid w:val="00B941E8"/>
    <w:rsid w:val="00BA0BFF"/>
    <w:rsid w:val="00BB1E10"/>
    <w:rsid w:val="00BD12DE"/>
    <w:rsid w:val="00BD19E5"/>
    <w:rsid w:val="00BE15D5"/>
    <w:rsid w:val="00BE3674"/>
    <w:rsid w:val="00BE79E9"/>
    <w:rsid w:val="00BF6D34"/>
    <w:rsid w:val="00C06B07"/>
    <w:rsid w:val="00C21DD0"/>
    <w:rsid w:val="00C312BC"/>
    <w:rsid w:val="00C404A2"/>
    <w:rsid w:val="00C40528"/>
    <w:rsid w:val="00C466B3"/>
    <w:rsid w:val="00C468D9"/>
    <w:rsid w:val="00C47246"/>
    <w:rsid w:val="00C51A62"/>
    <w:rsid w:val="00C5295F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3AAF"/>
    <w:rsid w:val="00CB563D"/>
    <w:rsid w:val="00CB5D29"/>
    <w:rsid w:val="00CC3C23"/>
    <w:rsid w:val="00CD1269"/>
    <w:rsid w:val="00CD3A10"/>
    <w:rsid w:val="00CE4D99"/>
    <w:rsid w:val="00CE5E6E"/>
    <w:rsid w:val="00CF601B"/>
    <w:rsid w:val="00D037A4"/>
    <w:rsid w:val="00D12D6B"/>
    <w:rsid w:val="00D13206"/>
    <w:rsid w:val="00D158E2"/>
    <w:rsid w:val="00D17CFD"/>
    <w:rsid w:val="00D23A41"/>
    <w:rsid w:val="00D349CD"/>
    <w:rsid w:val="00D42378"/>
    <w:rsid w:val="00D63E25"/>
    <w:rsid w:val="00D93623"/>
    <w:rsid w:val="00D942B3"/>
    <w:rsid w:val="00DA12A3"/>
    <w:rsid w:val="00DA28B5"/>
    <w:rsid w:val="00DB2FA2"/>
    <w:rsid w:val="00DC006B"/>
    <w:rsid w:val="00DC5BC5"/>
    <w:rsid w:val="00DD36CD"/>
    <w:rsid w:val="00DD439B"/>
    <w:rsid w:val="00DD45ED"/>
    <w:rsid w:val="00DF10D2"/>
    <w:rsid w:val="00E034B2"/>
    <w:rsid w:val="00E04A9B"/>
    <w:rsid w:val="00E05F23"/>
    <w:rsid w:val="00E23975"/>
    <w:rsid w:val="00E35509"/>
    <w:rsid w:val="00E65723"/>
    <w:rsid w:val="00E665B9"/>
    <w:rsid w:val="00E70143"/>
    <w:rsid w:val="00E740D0"/>
    <w:rsid w:val="00E76C49"/>
    <w:rsid w:val="00E77B48"/>
    <w:rsid w:val="00E8149E"/>
    <w:rsid w:val="00EC06BB"/>
    <w:rsid w:val="00EC1C54"/>
    <w:rsid w:val="00EC3A1F"/>
    <w:rsid w:val="00EC3F85"/>
    <w:rsid w:val="00EC7003"/>
    <w:rsid w:val="00ED53A0"/>
    <w:rsid w:val="00ED72F0"/>
    <w:rsid w:val="00EE12ED"/>
    <w:rsid w:val="00EF3F1E"/>
    <w:rsid w:val="00EF5B04"/>
    <w:rsid w:val="00F07CAC"/>
    <w:rsid w:val="00F21AAF"/>
    <w:rsid w:val="00F228F6"/>
    <w:rsid w:val="00F275B9"/>
    <w:rsid w:val="00F52F90"/>
    <w:rsid w:val="00F530B1"/>
    <w:rsid w:val="00F56115"/>
    <w:rsid w:val="00F6268F"/>
    <w:rsid w:val="00F6791B"/>
    <w:rsid w:val="00F77423"/>
    <w:rsid w:val="00F94651"/>
    <w:rsid w:val="00FC66B3"/>
    <w:rsid w:val="00FD0BDD"/>
    <w:rsid w:val="00FD1F5F"/>
    <w:rsid w:val="00FD30F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C55B-62B8-4922-9113-F1AA560F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82</cp:revision>
  <cp:lastPrinted>2020-05-15T05:56:00Z</cp:lastPrinted>
  <dcterms:created xsi:type="dcterms:W3CDTF">2020-01-31T05:59:00Z</dcterms:created>
  <dcterms:modified xsi:type="dcterms:W3CDTF">2021-01-18T13:23:00Z</dcterms:modified>
</cp:coreProperties>
</file>