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62039E" w:rsidP="008D2583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мая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Cs w:val="12"/>
                    </w:rPr>
                  </w:pPr>
                </w:p>
                <w:p w:rsidR="00122EAC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</w:pPr>
                </w:p>
              </w:tc>
            </w:tr>
          </w:tbl>
          <w:p w:rsidR="00AB5F7B" w:rsidRPr="00B77282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604DF6" w:rsidP="00555906">
            <w:pPr>
              <w:tabs>
                <w:tab w:val="left" w:pos="519"/>
              </w:tabs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349CD">
              <w:rPr>
                <w:b/>
                <w:bCs/>
                <w:color w:val="000000"/>
                <w:sz w:val="24"/>
                <w:szCs w:val="24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CE4D99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4677EB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BB1E10">
        <w:rPr>
          <w:color w:val="000000"/>
        </w:rPr>
        <w:t>2</w:t>
      </w:r>
      <w:r w:rsidR="00CE4D99">
        <w:rPr>
          <w:color w:val="000000"/>
        </w:rPr>
        <w:t>3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 w:rsidR="00CE4D99">
        <w:rPr>
          <w:color w:val="000000"/>
        </w:rPr>
        <w:t>4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CE4D99">
        <w:rPr>
          <w:b/>
          <w:bCs/>
          <w:color w:val="000000"/>
        </w:rPr>
        <w:t>01</w:t>
      </w:r>
      <w:r w:rsidR="00B55C2B" w:rsidRPr="00B55C2B">
        <w:rPr>
          <w:b/>
          <w:bCs/>
          <w:color w:val="000000"/>
        </w:rPr>
        <w:t>:</w:t>
      </w:r>
      <w:r w:rsidR="00EE12ED">
        <w:rPr>
          <w:b/>
          <w:bCs/>
          <w:color w:val="000000"/>
        </w:rPr>
        <w:t>00</w:t>
      </w:r>
      <w:r w:rsidR="00B77282">
        <w:rPr>
          <w:b/>
          <w:bCs/>
          <w:color w:val="000000"/>
        </w:rPr>
        <w:t>1</w:t>
      </w:r>
      <w:r w:rsidR="00CE4D99">
        <w:rPr>
          <w:b/>
          <w:bCs/>
          <w:color w:val="000000"/>
        </w:rPr>
        <w:t>0230</w:t>
      </w:r>
      <w:r w:rsidR="00B55C2B" w:rsidRPr="00B55C2B">
        <w:rPr>
          <w:b/>
          <w:bCs/>
          <w:color w:val="000000"/>
        </w:rPr>
        <w:t>:</w:t>
      </w:r>
      <w:r w:rsidR="00B77282">
        <w:rPr>
          <w:b/>
          <w:bCs/>
          <w:color w:val="000000"/>
        </w:rPr>
        <w:t>1</w:t>
      </w:r>
      <w:r w:rsidR="00CE4D99">
        <w:rPr>
          <w:b/>
          <w:bCs/>
          <w:color w:val="000000"/>
        </w:rPr>
        <w:t>11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C404A2" w:rsidRDefault="00C404A2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006CD9" w:rsidP="00006CD9">
            <w:pPr>
              <w:rPr>
                <w:color w:val="000000"/>
                <w:sz w:val="20"/>
              </w:rPr>
            </w:pPr>
            <w:r w:rsidRPr="00006CD9">
              <w:rPr>
                <w:color w:val="000000"/>
                <w:sz w:val="20"/>
              </w:rPr>
              <w:t>101 405,85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4677EB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внесения сведений о кадастровой стоимости в Единый </w:t>
            </w:r>
            <w:r w:rsidRPr="006B1CAF">
              <w:rPr>
                <w:sz w:val="20"/>
              </w:rPr>
              <w:lastRenderedPageBreak/>
              <w:t>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B5D29" w:rsidRDefault="001D1CB9" w:rsidP="002A417A">
            <w:pPr>
              <w:jc w:val="both"/>
              <w:rPr>
                <w:color w:val="000000"/>
                <w:sz w:val="20"/>
              </w:rPr>
            </w:pPr>
            <w:r w:rsidRPr="001D1CB9">
              <w:rPr>
                <w:color w:val="000000"/>
                <w:sz w:val="20"/>
              </w:rPr>
              <w:t>Межрайонная инспекция Федеральной налоговой службы № 4 по Орловской области</w:t>
            </w:r>
            <w:r w:rsidR="00122EAC" w:rsidRPr="00CB5D29">
              <w:rPr>
                <w:color w:val="000000"/>
                <w:sz w:val="20"/>
              </w:rPr>
              <w:t xml:space="preserve">; </w:t>
            </w:r>
            <w:r w:rsidRPr="001D1CB9">
              <w:rPr>
                <w:color w:val="000000"/>
                <w:sz w:val="20"/>
              </w:rPr>
              <w:t>303030, Орловская область, г. Мценск, ул. Красноармейская, д. 24</w:t>
            </w:r>
            <w:r w:rsidR="00122EAC" w:rsidRPr="00CB5D29">
              <w:rPr>
                <w:color w:val="000000"/>
                <w:sz w:val="20"/>
              </w:rPr>
              <w:t xml:space="preserve">; </w:t>
            </w:r>
            <w:r>
              <w:rPr>
                <w:color w:val="000000"/>
                <w:sz w:val="20"/>
              </w:rPr>
              <w:t xml:space="preserve">тел. +7 </w:t>
            </w:r>
            <w:r w:rsidRPr="001D1CB9">
              <w:rPr>
                <w:color w:val="000000"/>
                <w:sz w:val="20"/>
              </w:rPr>
              <w:t>(48646) 2-58-66; +7 (48646) 2-66-22</w:t>
            </w:r>
          </w:p>
          <w:p w:rsidR="00122EAC" w:rsidRPr="00CB5D29" w:rsidRDefault="001D1CB9" w:rsidP="002A417A">
            <w:pPr>
              <w:jc w:val="both"/>
              <w:rPr>
                <w:color w:val="000000"/>
                <w:sz w:val="20"/>
              </w:rPr>
            </w:pPr>
            <w:r w:rsidRPr="001D1CB9">
              <w:rPr>
                <w:color w:val="000000"/>
                <w:sz w:val="20"/>
              </w:rPr>
              <w:t>https://www.nalog.ru/rn57/ifns/imns57_04/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B5D29" w:rsidP="00157B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</w:t>
            </w:r>
            <w:r w:rsidR="00157B4D">
              <w:rPr>
                <w:color w:val="000000"/>
                <w:sz w:val="20"/>
                <w:szCs w:val="20"/>
              </w:rPr>
              <w:t>01</w:t>
            </w:r>
            <w:r w:rsidR="00EE12ED" w:rsidRPr="00EE12ED">
              <w:rPr>
                <w:color w:val="000000"/>
                <w:sz w:val="20"/>
                <w:szCs w:val="20"/>
              </w:rPr>
              <w:t>:00</w:t>
            </w:r>
            <w:r>
              <w:rPr>
                <w:color w:val="000000"/>
                <w:sz w:val="20"/>
                <w:szCs w:val="20"/>
              </w:rPr>
              <w:t>1</w:t>
            </w:r>
            <w:r w:rsidR="00157B4D">
              <w:rPr>
                <w:color w:val="000000"/>
                <w:sz w:val="20"/>
                <w:szCs w:val="20"/>
              </w:rPr>
              <w:t>0230</w:t>
            </w:r>
            <w:r w:rsidR="00EE12ED" w:rsidRPr="00EE12ED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1</w:t>
            </w:r>
            <w:r w:rsidR="00157B4D">
              <w:rPr>
                <w:color w:val="000000"/>
                <w:sz w:val="20"/>
                <w:szCs w:val="20"/>
              </w:rPr>
              <w:t>11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57B4D" w:rsidP="00157B4D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Российская Федерация, </w:t>
            </w:r>
            <w:r w:rsidR="00122EAC"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Болховский</w:t>
            </w:r>
            <w:r w:rsidR="00CB5D29">
              <w:rPr>
                <w:color w:val="000000"/>
                <w:sz w:val="20"/>
                <w:szCs w:val="20"/>
              </w:rPr>
              <w:t xml:space="preserve"> район, </w:t>
            </w:r>
            <w:r>
              <w:rPr>
                <w:color w:val="000000"/>
                <w:sz w:val="20"/>
                <w:szCs w:val="20"/>
              </w:rPr>
              <w:t xml:space="preserve">г. </w:t>
            </w:r>
            <w:proofErr w:type="spellStart"/>
            <w:r>
              <w:rPr>
                <w:color w:val="000000"/>
                <w:sz w:val="20"/>
                <w:szCs w:val="20"/>
              </w:rPr>
              <w:t>Болхов</w:t>
            </w:r>
            <w:proofErr w:type="spellEnd"/>
            <w:r>
              <w:rPr>
                <w:color w:val="000000"/>
                <w:sz w:val="20"/>
                <w:szCs w:val="20"/>
              </w:rPr>
              <w:t>, ул. Добровольцев Урала</w:t>
            </w:r>
            <w:proofErr w:type="gramEnd"/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F" w:rsidRPr="006D76D9" w:rsidRDefault="00067FAF" w:rsidP="001E70E5">
            <w:pPr>
              <w:jc w:val="both"/>
              <w:rPr>
                <w:color w:val="000000"/>
                <w:sz w:val="20"/>
                <w:szCs w:val="20"/>
              </w:rPr>
            </w:pPr>
            <w:r w:rsidRPr="006D76D9">
              <w:rPr>
                <w:color w:val="000000"/>
                <w:sz w:val="20"/>
                <w:szCs w:val="20"/>
              </w:rPr>
              <w:t xml:space="preserve">Объект расположен </w:t>
            </w:r>
            <w:r w:rsidR="001E70E5">
              <w:rPr>
                <w:color w:val="000000"/>
                <w:sz w:val="20"/>
                <w:szCs w:val="20"/>
              </w:rPr>
              <w:t>на некотором удалении от центра населенного пункта</w:t>
            </w:r>
            <w:r w:rsidR="006D76D9" w:rsidRPr="006D76D9">
              <w:rPr>
                <w:color w:val="000000"/>
                <w:sz w:val="20"/>
                <w:szCs w:val="20"/>
              </w:rPr>
              <w:t xml:space="preserve">, окружение – </w:t>
            </w:r>
            <w:r w:rsidR="001E70E5">
              <w:rPr>
                <w:color w:val="000000"/>
                <w:sz w:val="20"/>
                <w:szCs w:val="20"/>
              </w:rPr>
              <w:t>жилая малоэтажная застройка, объекты административно-производственного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B00CB0" w:rsidP="00186183">
            <w:pPr>
              <w:rPr>
                <w:color w:val="000000"/>
                <w:sz w:val="20"/>
                <w:szCs w:val="20"/>
              </w:rPr>
            </w:pPr>
            <w:r w:rsidRPr="00B00CB0">
              <w:rPr>
                <w:color w:val="000000"/>
                <w:sz w:val="20"/>
                <w:szCs w:val="20"/>
              </w:rPr>
              <w:t>1615</w:t>
            </w:r>
            <w:r w:rsidR="00676221">
              <w:rPr>
                <w:color w:val="000000"/>
                <w:sz w:val="20"/>
                <w:szCs w:val="20"/>
              </w:rPr>
              <w:t xml:space="preserve"> </w:t>
            </w:r>
            <w:r w:rsidR="00B74E57">
              <w:rPr>
                <w:color w:val="000000"/>
                <w:sz w:val="20"/>
                <w:szCs w:val="20"/>
              </w:rPr>
              <w:t>м</w:t>
            </w:r>
            <w:proofErr w:type="gramStart"/>
            <w:r w:rsidR="00B74E57" w:rsidRPr="00F275B9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B5D29" w:rsidP="00B00CB0">
            <w:pPr>
              <w:jc w:val="both"/>
              <w:rPr>
                <w:color w:val="000000"/>
                <w:sz w:val="20"/>
                <w:szCs w:val="20"/>
              </w:rPr>
            </w:pPr>
            <w:r w:rsidRPr="00CB5D29">
              <w:rPr>
                <w:color w:val="000000"/>
                <w:sz w:val="20"/>
                <w:szCs w:val="20"/>
              </w:rPr>
              <w:t xml:space="preserve">Земли </w:t>
            </w:r>
            <w:r w:rsidR="00B00CB0">
              <w:rPr>
                <w:color w:val="000000"/>
                <w:sz w:val="20"/>
                <w:szCs w:val="20"/>
              </w:rPr>
              <w:t>населённых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00CB0" w:rsidP="00CB5D29">
            <w:pPr>
              <w:jc w:val="both"/>
              <w:rPr>
                <w:color w:val="000000"/>
                <w:sz w:val="20"/>
                <w:szCs w:val="20"/>
              </w:rPr>
            </w:pPr>
            <w:r w:rsidRPr="00B00CB0">
              <w:rPr>
                <w:color w:val="000000"/>
                <w:sz w:val="20"/>
                <w:szCs w:val="20"/>
              </w:rPr>
              <w:t>Для размещения и эксплуатации объектов автомобильного транспорта и объектов дорожного хозяйства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FD085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687E2A" w:rsidRDefault="00687E2A" w:rsidP="00FD085E">
            <w:pPr>
              <w:jc w:val="both"/>
              <w:rPr>
                <w:color w:val="000000"/>
                <w:sz w:val="20"/>
                <w:highlight w:val="yellow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является одним из наименьших на рынке земли и составляет на дату проведения кадастровой </w:t>
            </w:r>
            <w:r w:rsidRPr="00EC3F85">
              <w:rPr>
                <w:color w:val="000000"/>
                <w:sz w:val="20"/>
              </w:rPr>
              <w:t>стоимости 6%.</w:t>
            </w:r>
          </w:p>
          <w:p w:rsidR="00687E2A" w:rsidRPr="00685FF5" w:rsidRDefault="00EC3F85" w:rsidP="00687E2A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 w:rsidRPr="00AA26E7">
              <w:rPr>
                <w:color w:val="000000"/>
                <w:sz w:val="20"/>
              </w:rPr>
              <w:t>В районах, удаленных от областного центра, данный сегмент рынка характеризуется низкой активностью, либо практически отсутствует.</w:t>
            </w:r>
            <w:r w:rsidR="00360983">
              <w:rPr>
                <w:color w:val="000000"/>
                <w:sz w:val="20"/>
              </w:rPr>
              <w:t xml:space="preserve"> </w:t>
            </w:r>
            <w:r w:rsidR="00360983" w:rsidRPr="009B72E3">
              <w:rPr>
                <w:color w:val="000000"/>
                <w:sz w:val="20"/>
              </w:rPr>
              <w:t>Ценовой диапазон достаточно широк</w:t>
            </w:r>
            <w:r w:rsidR="00AD6ACF" w:rsidRPr="009B72E3">
              <w:rPr>
                <w:color w:val="000000"/>
                <w:sz w:val="20"/>
              </w:rPr>
              <w:t>, что обусловлено различным набором характеристик, влияющих</w:t>
            </w:r>
            <w:r w:rsidR="00AD6ACF">
              <w:rPr>
                <w:color w:val="000000"/>
                <w:sz w:val="20"/>
              </w:rPr>
              <w:t xml:space="preserve"> на стоимость. </w:t>
            </w:r>
            <w:proofErr w:type="gramStart"/>
            <w:r w:rsidR="00AD6ACF">
              <w:rPr>
                <w:color w:val="000000"/>
                <w:sz w:val="20"/>
              </w:rPr>
              <w:t xml:space="preserve">Минимальные значения цен наблюдаются по объектам, удаленным от областного и районного центров с неразвитой транспортной и инженерной инфраструктурой. </w:t>
            </w:r>
            <w:proofErr w:type="gramEnd"/>
          </w:p>
          <w:p w:rsidR="00687E2A" w:rsidRPr="001143FD" w:rsidRDefault="00687E2A" w:rsidP="00FD085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FD085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>
              <w:rPr>
                <w:color w:val="000000"/>
                <w:sz w:val="20"/>
              </w:rPr>
              <w:t>под производственную деятельность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932"/>
        <w:gridCol w:w="4706"/>
      </w:tblGrid>
      <w:tr w:rsidR="00F275B9" w:rsidRPr="00F15EF5" w:rsidTr="00591261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826AEC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EC" w:rsidRPr="00F15EF5" w:rsidRDefault="00826AEC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EC" w:rsidRPr="00F15EF5" w:rsidRDefault="00C5295F" w:rsidP="00C5295F">
            <w:pPr>
              <w:jc w:val="both"/>
              <w:rPr>
                <w:color w:val="000000"/>
                <w:sz w:val="20"/>
                <w:szCs w:val="20"/>
              </w:rPr>
            </w:pPr>
            <w:r w:rsidRPr="00752FDE">
              <w:rPr>
                <w:color w:val="000000"/>
                <w:sz w:val="20"/>
                <w:szCs w:val="20"/>
              </w:rPr>
              <w:t>_Расстояние до ближайшей трассы федерального значения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EC" w:rsidRPr="00B53739" w:rsidRDefault="00752FDE" w:rsidP="00752FDE">
            <w:pPr>
              <w:jc w:val="center"/>
              <w:rPr>
                <w:color w:val="000000"/>
                <w:sz w:val="20"/>
                <w:szCs w:val="20"/>
              </w:rPr>
            </w:pPr>
            <w:r w:rsidRPr="00752FDE">
              <w:rPr>
                <w:color w:val="000000"/>
                <w:sz w:val="20"/>
                <w:szCs w:val="20"/>
              </w:rPr>
              <w:t>0,01</w:t>
            </w:r>
            <w:r>
              <w:rPr>
                <w:color w:val="000000"/>
                <w:sz w:val="20"/>
                <w:szCs w:val="20"/>
              </w:rPr>
              <w:t xml:space="preserve"> км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EC" w:rsidRPr="006323AA" w:rsidRDefault="00826AEC" w:rsidP="00FD085E">
            <w:pPr>
              <w:jc w:val="both"/>
              <w:rPr>
                <w:color w:val="000000"/>
                <w:sz w:val="20"/>
                <w:szCs w:val="20"/>
              </w:rPr>
            </w:pPr>
            <w:r w:rsidRPr="006323AA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</w:t>
            </w:r>
            <w:r w:rsidR="006323AA" w:rsidRPr="006323AA">
              <w:rPr>
                <w:color w:val="000000"/>
                <w:sz w:val="20"/>
                <w:szCs w:val="20"/>
              </w:rPr>
              <w:t>емантические факторы\Семантика Г</w:t>
            </w:r>
            <w:r w:rsidRPr="006323AA">
              <w:rPr>
                <w:color w:val="000000"/>
                <w:sz w:val="20"/>
                <w:szCs w:val="20"/>
              </w:rPr>
              <w:t>НП\</w:t>
            </w:r>
            <w:r w:rsidR="006323AA" w:rsidRPr="006323AA">
              <w:rPr>
                <w:color w:val="000000"/>
                <w:sz w:val="20"/>
                <w:szCs w:val="20"/>
              </w:rPr>
              <w:t xml:space="preserve">г. </w:t>
            </w:r>
            <w:proofErr w:type="spellStart"/>
            <w:r w:rsidR="006323AA" w:rsidRPr="006323AA">
              <w:rPr>
                <w:color w:val="000000"/>
                <w:sz w:val="20"/>
                <w:szCs w:val="20"/>
              </w:rPr>
              <w:t>Болхов</w:t>
            </w:r>
            <w:proofErr w:type="spellEnd"/>
          </w:p>
          <w:p w:rsidR="00826AEC" w:rsidRPr="006323AA" w:rsidRDefault="00826AEC" w:rsidP="00E665B9">
            <w:pPr>
              <w:jc w:val="both"/>
              <w:rPr>
                <w:color w:val="000000"/>
                <w:sz w:val="20"/>
                <w:szCs w:val="20"/>
              </w:rPr>
            </w:pPr>
            <w:r w:rsidRPr="006323AA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="00E665B9" w:rsidRPr="006323AA">
              <w:rPr>
                <w:color w:val="000000"/>
                <w:sz w:val="20"/>
                <w:szCs w:val="20"/>
              </w:rPr>
              <w:t>6</w:t>
            </w:r>
            <w:r w:rsidRPr="006323AA">
              <w:rPr>
                <w:color w:val="000000"/>
                <w:sz w:val="20"/>
                <w:szCs w:val="20"/>
              </w:rPr>
              <w:t xml:space="preserve"> сегмент</w:t>
            </w:r>
          </w:p>
        </w:tc>
      </w:tr>
      <w:tr w:rsidR="00E665B9" w:rsidRPr="00F15EF5" w:rsidTr="00135BFC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B9" w:rsidRPr="00F15EF5" w:rsidRDefault="00E66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B9" w:rsidRPr="00F15EF5" w:rsidRDefault="00C5295F" w:rsidP="00C5295F">
            <w:pPr>
              <w:jc w:val="both"/>
              <w:rPr>
                <w:color w:val="000000"/>
                <w:sz w:val="20"/>
                <w:szCs w:val="20"/>
              </w:rPr>
            </w:pPr>
            <w:r w:rsidRPr="00752FDE">
              <w:rPr>
                <w:color w:val="000000"/>
                <w:sz w:val="20"/>
                <w:szCs w:val="20"/>
              </w:rPr>
              <w:t>_Расстояние от населенного пункта до столицы субъекта РФ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B9" w:rsidRPr="00F15EF5" w:rsidRDefault="00752FDE" w:rsidP="00752FDE">
            <w:pPr>
              <w:jc w:val="center"/>
              <w:rPr>
                <w:color w:val="000000"/>
                <w:sz w:val="20"/>
                <w:szCs w:val="20"/>
              </w:rPr>
            </w:pPr>
            <w:r w:rsidRPr="00752FDE">
              <w:rPr>
                <w:color w:val="000000"/>
                <w:sz w:val="20"/>
                <w:szCs w:val="20"/>
              </w:rPr>
              <w:t>60</w:t>
            </w:r>
            <w:r>
              <w:rPr>
                <w:color w:val="000000"/>
                <w:sz w:val="20"/>
                <w:szCs w:val="20"/>
              </w:rPr>
              <w:t xml:space="preserve"> км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B9" w:rsidRPr="006323AA" w:rsidRDefault="00E665B9" w:rsidP="009A4347">
            <w:pPr>
              <w:jc w:val="both"/>
              <w:rPr>
                <w:color w:val="000000"/>
                <w:sz w:val="20"/>
                <w:szCs w:val="20"/>
              </w:rPr>
            </w:pPr>
            <w:r w:rsidRPr="006323AA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</w:t>
            </w:r>
            <w:r w:rsidR="006323AA" w:rsidRPr="006323AA">
              <w:rPr>
                <w:color w:val="000000"/>
                <w:sz w:val="20"/>
                <w:szCs w:val="20"/>
              </w:rPr>
              <w:t>емантические факторы\Семантика Г</w:t>
            </w:r>
            <w:r w:rsidRPr="006323AA">
              <w:rPr>
                <w:color w:val="000000"/>
                <w:sz w:val="20"/>
                <w:szCs w:val="20"/>
              </w:rPr>
              <w:t>НП\</w:t>
            </w:r>
            <w:r w:rsidR="006323AA" w:rsidRPr="006323AA">
              <w:rPr>
                <w:color w:val="000000"/>
                <w:sz w:val="20"/>
                <w:szCs w:val="20"/>
              </w:rPr>
              <w:t xml:space="preserve">г. </w:t>
            </w:r>
            <w:proofErr w:type="spellStart"/>
            <w:r w:rsidR="00032646" w:rsidRPr="006323AA">
              <w:rPr>
                <w:color w:val="000000"/>
                <w:sz w:val="20"/>
                <w:szCs w:val="20"/>
              </w:rPr>
              <w:t>Болхов</w:t>
            </w:r>
            <w:proofErr w:type="spellEnd"/>
          </w:p>
          <w:p w:rsidR="00E665B9" w:rsidRPr="006323AA" w:rsidRDefault="00E665B9" w:rsidP="009A4347">
            <w:pPr>
              <w:jc w:val="both"/>
              <w:rPr>
                <w:color w:val="000000"/>
                <w:sz w:val="20"/>
                <w:szCs w:val="20"/>
              </w:rPr>
            </w:pPr>
            <w:r w:rsidRPr="006323AA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6 сегмент</w:t>
            </w:r>
          </w:p>
        </w:tc>
      </w:tr>
      <w:tr w:rsidR="00C5295F" w:rsidRPr="00F15EF5" w:rsidTr="00135BFC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5F" w:rsidRPr="00F15EF5" w:rsidRDefault="00C5295F" w:rsidP="009A4B12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5F" w:rsidRPr="00020BA6" w:rsidRDefault="00C5295F" w:rsidP="00C5295F">
            <w:pPr>
              <w:jc w:val="both"/>
              <w:rPr>
                <w:color w:val="000000"/>
                <w:sz w:val="20"/>
                <w:szCs w:val="20"/>
              </w:rPr>
            </w:pPr>
            <w:r w:rsidRPr="00752FDE">
              <w:rPr>
                <w:color w:val="000000"/>
                <w:sz w:val="20"/>
                <w:szCs w:val="20"/>
              </w:rPr>
              <w:t>_Численность населения в населенном пункте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5F" w:rsidRPr="00E665B9" w:rsidRDefault="00752FDE" w:rsidP="00752FDE">
            <w:pPr>
              <w:jc w:val="center"/>
              <w:rPr>
                <w:color w:val="000000"/>
                <w:sz w:val="20"/>
                <w:szCs w:val="20"/>
              </w:rPr>
            </w:pPr>
            <w:r w:rsidRPr="00752FDE">
              <w:rPr>
                <w:color w:val="000000"/>
                <w:sz w:val="20"/>
                <w:szCs w:val="20"/>
              </w:rPr>
              <w:t>11097</w:t>
            </w:r>
            <w:r>
              <w:rPr>
                <w:color w:val="000000"/>
                <w:sz w:val="20"/>
                <w:szCs w:val="20"/>
              </w:rPr>
              <w:t xml:space="preserve"> чел.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95F" w:rsidRPr="006323AA" w:rsidRDefault="00C5295F" w:rsidP="009A4B12">
            <w:pPr>
              <w:jc w:val="both"/>
              <w:rPr>
                <w:color w:val="000000"/>
                <w:sz w:val="20"/>
                <w:szCs w:val="20"/>
              </w:rPr>
            </w:pPr>
            <w:r w:rsidRPr="006323AA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</w:t>
            </w:r>
            <w:r w:rsidR="006323AA" w:rsidRPr="006323AA">
              <w:rPr>
                <w:color w:val="000000"/>
                <w:sz w:val="20"/>
                <w:szCs w:val="20"/>
              </w:rPr>
              <w:t>емантические факторы\Семантика Г</w:t>
            </w:r>
            <w:r w:rsidRPr="006323AA">
              <w:rPr>
                <w:color w:val="000000"/>
                <w:sz w:val="20"/>
                <w:szCs w:val="20"/>
              </w:rPr>
              <w:t>НП\</w:t>
            </w:r>
            <w:r w:rsidR="006323AA" w:rsidRPr="006323AA">
              <w:rPr>
                <w:color w:val="000000"/>
                <w:sz w:val="20"/>
                <w:szCs w:val="20"/>
              </w:rPr>
              <w:t xml:space="preserve">г. </w:t>
            </w:r>
            <w:proofErr w:type="spellStart"/>
            <w:r w:rsidR="00032646" w:rsidRPr="006323AA">
              <w:rPr>
                <w:color w:val="000000"/>
                <w:sz w:val="20"/>
                <w:szCs w:val="20"/>
              </w:rPr>
              <w:t>Болхов</w:t>
            </w:r>
            <w:proofErr w:type="spellEnd"/>
          </w:p>
          <w:p w:rsidR="00C5295F" w:rsidRPr="006323AA" w:rsidRDefault="00C5295F" w:rsidP="009A4B12">
            <w:pPr>
              <w:jc w:val="both"/>
              <w:rPr>
                <w:color w:val="000000"/>
                <w:sz w:val="20"/>
                <w:szCs w:val="20"/>
              </w:rPr>
            </w:pPr>
            <w:r w:rsidRPr="006323AA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6 сегмент</w:t>
            </w:r>
          </w:p>
        </w:tc>
      </w:tr>
    </w:tbl>
    <w:p w:rsidR="003855C7" w:rsidRDefault="003855C7" w:rsidP="00F275B9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8B6180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FD085E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 (наличие достаточного количества объектов-аналогов </w:t>
            </w:r>
            <w:r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>
              <w:rPr>
                <w:color w:val="000000"/>
                <w:sz w:val="20"/>
                <w:szCs w:val="20"/>
              </w:rPr>
              <w:t>производственные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Примененные методы оценки при определении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D0BDD" w:rsidRDefault="002C5813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A802E4">
              <w:rPr>
                <w:sz w:val="20"/>
                <w:szCs w:val="20"/>
              </w:rPr>
              <w:t>Экспоненциальная (обоснование</w:t>
            </w:r>
            <w:r w:rsidRPr="00A26BDD">
              <w:rPr>
                <w:sz w:val="20"/>
                <w:szCs w:val="20"/>
              </w:rPr>
              <w:t xml:space="preserve"> выбора модели: </w:t>
            </w:r>
            <w:r w:rsidR="004E0823">
              <w:rPr>
                <w:sz w:val="20"/>
                <w:szCs w:val="20"/>
              </w:rPr>
              <w:t>наибольший показатель коэффициента детерминации, наименьшее значение средней ошибки аппроксимации</w:t>
            </w:r>
            <w:r w:rsidR="00A802E4">
              <w:rPr>
                <w:sz w:val="20"/>
                <w:szCs w:val="20"/>
              </w:rPr>
              <w:t>)</w:t>
            </w:r>
            <w:r w:rsidR="00122EAC" w:rsidRPr="00FD0BDD">
              <w:rPr>
                <w:color w:val="000000"/>
                <w:sz w:val="20"/>
                <w:szCs w:val="20"/>
              </w:rPr>
              <w:t xml:space="preserve">, формула модели: </w:t>
            </w:r>
          </w:p>
          <w:p w:rsidR="00122EAC" w:rsidRPr="00FD0BDD" w:rsidRDefault="001139D5" w:rsidP="00EF5B04">
            <w:pPr>
              <w:jc w:val="both"/>
              <w:rPr>
                <w:color w:val="000000"/>
                <w:sz w:val="20"/>
                <w:szCs w:val="20"/>
              </w:rPr>
            </w:pPr>
            <w:r w:rsidRPr="001139D5">
              <w:rPr>
                <w:color w:val="000000"/>
                <w:sz w:val="20"/>
                <w:szCs w:val="20"/>
              </w:rPr>
              <w:t>УПКС = 67.18171741*e^(+0.00057257*((110.00+0.03-_Расстояние до ближайшей трассы федерального значения))+0.00467043*((180.00+11.00-_Расстояние от населенного пункта до столицы субъекта РФ))+0.00007374*_Численность населения в населенном пункте)</w:t>
            </w:r>
            <w:r>
              <w:rPr>
                <w:color w:val="000000"/>
                <w:sz w:val="20"/>
                <w:szCs w:val="20"/>
              </w:rPr>
              <w:t xml:space="preserve">*0,21 </w:t>
            </w:r>
            <w:r w:rsidR="00A7417E">
              <w:rPr>
                <w:color w:val="000000"/>
                <w:sz w:val="20"/>
                <w:szCs w:val="20"/>
              </w:rPr>
              <w:t>(</w:t>
            </w:r>
            <w:r w:rsidR="00A7417E" w:rsidRPr="00FD0BDD">
              <w:rPr>
                <w:color w:val="000000"/>
                <w:sz w:val="20"/>
                <w:szCs w:val="20"/>
              </w:rPr>
              <w:t xml:space="preserve">корректировка на вид использования </w:t>
            </w:r>
            <w:r w:rsidR="00A7417E">
              <w:rPr>
                <w:color w:val="000000"/>
                <w:sz w:val="20"/>
                <w:szCs w:val="20"/>
              </w:rPr>
              <w:t>для объединенной группы 6.2 «</w:t>
            </w:r>
            <w:r w:rsidR="00EF5B04">
              <w:rPr>
                <w:color w:val="000000"/>
                <w:sz w:val="20"/>
                <w:szCs w:val="20"/>
              </w:rPr>
              <w:t>Дороги</w:t>
            </w:r>
            <w:r w:rsidR="00A7417E">
              <w:rPr>
                <w:color w:val="000000"/>
                <w:sz w:val="20"/>
                <w:szCs w:val="20"/>
              </w:rPr>
              <w:t>»)</w:t>
            </w:r>
            <w:r w:rsidR="0082301E" w:rsidRPr="00FD0B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89" w:rsidRPr="00D9444A" w:rsidRDefault="001C7BE0" w:rsidP="001C7B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BF6D34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 w:rsidR="00953483">
              <w:rPr>
                <w:color w:val="000000"/>
                <w:sz w:val="20"/>
                <w:szCs w:val="20"/>
              </w:rPr>
              <w:t>:</w:t>
            </w:r>
            <w:r w:rsidR="008044B4">
              <w:rPr>
                <w:color w:val="000000"/>
                <w:sz w:val="20"/>
                <w:szCs w:val="20"/>
              </w:rPr>
              <w:t xml:space="preserve"> 0</w:t>
            </w:r>
            <w:r w:rsidR="00BF6D34">
              <w:rPr>
                <w:color w:val="000000"/>
                <w:sz w:val="20"/>
                <w:szCs w:val="20"/>
              </w:rPr>
              <w:t>7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BF6D34">
              <w:rPr>
                <w:color w:val="000000"/>
                <w:sz w:val="20"/>
                <w:szCs w:val="20"/>
              </w:rPr>
              <w:t>2</w:t>
            </w:r>
            <w:r w:rsidR="001C7BE0">
              <w:rPr>
                <w:color w:val="000000"/>
                <w:sz w:val="20"/>
                <w:szCs w:val="20"/>
              </w:rPr>
              <w:t>0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BF6D34">
              <w:rPr>
                <w:color w:val="000000"/>
                <w:sz w:val="20"/>
                <w:szCs w:val="20"/>
              </w:rPr>
              <w:t>Автомобильный транспорт. Размещение автомобильных дорог и технически связанных с ними сооружений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 w:rsidR="00EF5B04">
              <w:rPr>
                <w:color w:val="000000"/>
                <w:sz w:val="20"/>
                <w:szCs w:val="20"/>
              </w:rPr>
              <w:t>, объединенная группа 6.2 «Дороги»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BE3674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  <w:r w:rsidR="00E034B2">
              <w:rPr>
                <w:color w:val="000000"/>
                <w:sz w:val="20"/>
                <w:szCs w:val="20"/>
              </w:rPr>
              <w:t xml:space="preserve"> с учетом корректировки на вид использова</w:t>
            </w:r>
            <w:r w:rsidR="00E034B2" w:rsidRPr="007E6730">
              <w:rPr>
                <w:color w:val="000000"/>
                <w:sz w:val="20"/>
                <w:szCs w:val="20"/>
              </w:rPr>
              <w:t>ния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</w:t>
      </w:r>
      <w:r w:rsidRPr="003855C7">
        <w:rPr>
          <w:color w:val="000000"/>
        </w:rPr>
        <w:t>заявителя: нет.</w:t>
      </w:r>
    </w:p>
    <w:p w:rsidR="003855C7" w:rsidRDefault="003855C7" w:rsidP="003855C7">
      <w:pPr>
        <w:spacing w:after="120"/>
        <w:jc w:val="both"/>
        <w:rPr>
          <w:color w:val="000000"/>
        </w:rPr>
      </w:pPr>
    </w:p>
    <w:p w:rsidR="00122EAC" w:rsidRPr="001A5CA1" w:rsidRDefault="00122EAC" w:rsidP="00122EAC">
      <w:pPr>
        <w:jc w:val="both"/>
        <w:rPr>
          <w:color w:val="000000"/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Pr="005453C7" w:rsidRDefault="0041657C" w:rsidP="003C492C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Зам. начальника отдела ГКО</w:t>
            </w:r>
            <w:r w:rsidR="00122EAC" w:rsidRPr="005453C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243581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8044B4" w:rsidRPr="005453C7">
              <w:rPr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="00243581" w:rsidRPr="005453C7">
              <w:rPr>
                <w:color w:val="000000"/>
                <w:sz w:val="24"/>
                <w:szCs w:val="24"/>
              </w:rPr>
              <w:t>Берлинова</w:t>
            </w:r>
            <w:proofErr w:type="spellEnd"/>
            <w:r w:rsidRPr="005453C7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676221" w:rsidRDefault="00676221" w:rsidP="002A417A">
            <w:pPr>
              <w:rPr>
                <w:color w:val="000000"/>
                <w:sz w:val="16"/>
              </w:rPr>
            </w:pPr>
          </w:p>
          <w:p w:rsidR="0064230E" w:rsidRDefault="0064230E" w:rsidP="002A417A">
            <w:pPr>
              <w:rPr>
                <w:color w:val="000000"/>
                <w:sz w:val="16"/>
              </w:rPr>
            </w:pPr>
          </w:p>
          <w:p w:rsidR="00C468D9" w:rsidRPr="004C2EC4" w:rsidRDefault="00C468D9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Pr="005453C7" w:rsidRDefault="005E24D3" w:rsidP="002A417A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AC6784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5E24D3" w:rsidRPr="002533A9">
              <w:rPr>
                <w:color w:val="000000"/>
                <w:sz w:val="24"/>
                <w:szCs w:val="24"/>
              </w:rPr>
              <w:t xml:space="preserve">С.Г. </w:t>
            </w:r>
            <w:r w:rsidR="005E24D3" w:rsidRPr="005E24D3">
              <w:rPr>
                <w:color w:val="000000"/>
                <w:sz w:val="24"/>
                <w:szCs w:val="24"/>
              </w:rPr>
              <w:t>Оганесян</w:t>
            </w:r>
            <w:r w:rsidRPr="005E24D3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953483" w:rsidRDefault="00953483" w:rsidP="002A417A">
            <w:pPr>
              <w:rPr>
                <w:color w:val="000000"/>
                <w:sz w:val="16"/>
              </w:rPr>
            </w:pPr>
          </w:p>
          <w:p w:rsidR="00C468D9" w:rsidRDefault="00C468D9" w:rsidP="002A417A">
            <w:pPr>
              <w:rPr>
                <w:color w:val="000000"/>
                <w:sz w:val="16"/>
              </w:rPr>
            </w:pPr>
          </w:p>
          <w:p w:rsidR="00676221" w:rsidRPr="004C2EC4" w:rsidRDefault="00676221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5453C7" w:rsidRDefault="00737AE6" w:rsidP="00737AE6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Д</w:t>
            </w:r>
            <w:r w:rsidR="00122EAC" w:rsidRPr="005453C7">
              <w:rPr>
                <w:color w:val="000000"/>
                <w:sz w:val="24"/>
                <w:szCs w:val="24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737AE6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737AE6" w:rsidRPr="005453C7">
              <w:rPr>
                <w:color w:val="000000"/>
                <w:sz w:val="24"/>
                <w:szCs w:val="24"/>
              </w:rPr>
              <w:t>С</w:t>
            </w:r>
            <w:r w:rsidRPr="005453C7">
              <w:rPr>
                <w:color w:val="000000"/>
                <w:sz w:val="24"/>
                <w:szCs w:val="24"/>
              </w:rPr>
              <w:t>.</w:t>
            </w:r>
            <w:r w:rsidR="00737AE6" w:rsidRPr="005453C7">
              <w:rPr>
                <w:color w:val="000000"/>
                <w:sz w:val="24"/>
                <w:szCs w:val="24"/>
              </w:rPr>
              <w:t>Н</w:t>
            </w:r>
            <w:r w:rsidRPr="005453C7">
              <w:rPr>
                <w:color w:val="000000"/>
                <w:sz w:val="24"/>
                <w:szCs w:val="24"/>
              </w:rPr>
              <w:t xml:space="preserve">. </w:t>
            </w:r>
            <w:r w:rsidR="00737AE6" w:rsidRPr="005453C7">
              <w:rPr>
                <w:color w:val="000000"/>
                <w:sz w:val="24"/>
                <w:szCs w:val="24"/>
              </w:rPr>
              <w:t>Подрезов</w:t>
            </w:r>
            <w:r w:rsidRPr="005453C7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0A4"/>
    <w:rsid w:val="00006B4C"/>
    <w:rsid w:val="00006CD9"/>
    <w:rsid w:val="00020BA6"/>
    <w:rsid w:val="00030789"/>
    <w:rsid w:val="00032646"/>
    <w:rsid w:val="00062F50"/>
    <w:rsid w:val="0006399E"/>
    <w:rsid w:val="00067FAF"/>
    <w:rsid w:val="000804FA"/>
    <w:rsid w:val="0009466B"/>
    <w:rsid w:val="000955DF"/>
    <w:rsid w:val="00095B2D"/>
    <w:rsid w:val="0009680B"/>
    <w:rsid w:val="000A09FD"/>
    <w:rsid w:val="000A1098"/>
    <w:rsid w:val="000B2881"/>
    <w:rsid w:val="000C1C4B"/>
    <w:rsid w:val="000C72C4"/>
    <w:rsid w:val="000C7D3B"/>
    <w:rsid w:val="000F1398"/>
    <w:rsid w:val="001139D5"/>
    <w:rsid w:val="00122EAC"/>
    <w:rsid w:val="0013153E"/>
    <w:rsid w:val="00135BFC"/>
    <w:rsid w:val="001530A4"/>
    <w:rsid w:val="00155D0E"/>
    <w:rsid w:val="00157B4D"/>
    <w:rsid w:val="00157FF0"/>
    <w:rsid w:val="00176381"/>
    <w:rsid w:val="00185FF3"/>
    <w:rsid w:val="00186183"/>
    <w:rsid w:val="001923CE"/>
    <w:rsid w:val="0019585E"/>
    <w:rsid w:val="00197D86"/>
    <w:rsid w:val="001A5CA1"/>
    <w:rsid w:val="001B2248"/>
    <w:rsid w:val="001B4521"/>
    <w:rsid w:val="001C3BA3"/>
    <w:rsid w:val="001C7BE0"/>
    <w:rsid w:val="001D1CB9"/>
    <w:rsid w:val="001D2D0D"/>
    <w:rsid w:val="001E21B7"/>
    <w:rsid w:val="001E70E5"/>
    <w:rsid w:val="001F4A07"/>
    <w:rsid w:val="0020074A"/>
    <w:rsid w:val="00211A42"/>
    <w:rsid w:val="0022128F"/>
    <w:rsid w:val="00230F7B"/>
    <w:rsid w:val="00231953"/>
    <w:rsid w:val="0024126F"/>
    <w:rsid w:val="002428B5"/>
    <w:rsid w:val="00243581"/>
    <w:rsid w:val="00246599"/>
    <w:rsid w:val="002474EA"/>
    <w:rsid w:val="00250B9F"/>
    <w:rsid w:val="002526B3"/>
    <w:rsid w:val="002565BA"/>
    <w:rsid w:val="00267685"/>
    <w:rsid w:val="00272625"/>
    <w:rsid w:val="00272938"/>
    <w:rsid w:val="00274845"/>
    <w:rsid w:val="00287B96"/>
    <w:rsid w:val="002912D5"/>
    <w:rsid w:val="002A417A"/>
    <w:rsid w:val="002B1235"/>
    <w:rsid w:val="002B625A"/>
    <w:rsid w:val="002C5813"/>
    <w:rsid w:val="002E72EA"/>
    <w:rsid w:val="002E7892"/>
    <w:rsid w:val="00346FAB"/>
    <w:rsid w:val="003521F0"/>
    <w:rsid w:val="0035441C"/>
    <w:rsid w:val="00357C0C"/>
    <w:rsid w:val="00360983"/>
    <w:rsid w:val="0036230A"/>
    <w:rsid w:val="003644A8"/>
    <w:rsid w:val="00370445"/>
    <w:rsid w:val="003801EA"/>
    <w:rsid w:val="0038070A"/>
    <w:rsid w:val="003855C7"/>
    <w:rsid w:val="00387289"/>
    <w:rsid w:val="00391CA2"/>
    <w:rsid w:val="00394506"/>
    <w:rsid w:val="00396C15"/>
    <w:rsid w:val="003A4D06"/>
    <w:rsid w:val="003A4D34"/>
    <w:rsid w:val="003C2FB7"/>
    <w:rsid w:val="003C492C"/>
    <w:rsid w:val="003E510D"/>
    <w:rsid w:val="0040522D"/>
    <w:rsid w:val="0041657C"/>
    <w:rsid w:val="004253FC"/>
    <w:rsid w:val="00426F9D"/>
    <w:rsid w:val="00431F89"/>
    <w:rsid w:val="00464018"/>
    <w:rsid w:val="004677EB"/>
    <w:rsid w:val="004759CC"/>
    <w:rsid w:val="00476D36"/>
    <w:rsid w:val="004863F1"/>
    <w:rsid w:val="00492CBE"/>
    <w:rsid w:val="00493D24"/>
    <w:rsid w:val="00493F97"/>
    <w:rsid w:val="00495E7E"/>
    <w:rsid w:val="004962B0"/>
    <w:rsid w:val="004B43DC"/>
    <w:rsid w:val="004C330C"/>
    <w:rsid w:val="004E0823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453C7"/>
    <w:rsid w:val="00555151"/>
    <w:rsid w:val="00555906"/>
    <w:rsid w:val="00563C02"/>
    <w:rsid w:val="00564BF6"/>
    <w:rsid w:val="0057315B"/>
    <w:rsid w:val="00583597"/>
    <w:rsid w:val="005861A8"/>
    <w:rsid w:val="005867D9"/>
    <w:rsid w:val="00590BEC"/>
    <w:rsid w:val="00590FBC"/>
    <w:rsid w:val="00591261"/>
    <w:rsid w:val="005A0502"/>
    <w:rsid w:val="005B719E"/>
    <w:rsid w:val="005D0458"/>
    <w:rsid w:val="005D581D"/>
    <w:rsid w:val="005E24D3"/>
    <w:rsid w:val="00604DF6"/>
    <w:rsid w:val="0062039E"/>
    <w:rsid w:val="00623500"/>
    <w:rsid w:val="00627840"/>
    <w:rsid w:val="00627AB5"/>
    <w:rsid w:val="0063101E"/>
    <w:rsid w:val="00632342"/>
    <w:rsid w:val="006323AA"/>
    <w:rsid w:val="006348FD"/>
    <w:rsid w:val="00640A8D"/>
    <w:rsid w:val="0064230E"/>
    <w:rsid w:val="0064256D"/>
    <w:rsid w:val="0065253E"/>
    <w:rsid w:val="0065353D"/>
    <w:rsid w:val="00656058"/>
    <w:rsid w:val="00662EC8"/>
    <w:rsid w:val="00667D8B"/>
    <w:rsid w:val="0067402B"/>
    <w:rsid w:val="00674CED"/>
    <w:rsid w:val="00676221"/>
    <w:rsid w:val="00680511"/>
    <w:rsid w:val="00684007"/>
    <w:rsid w:val="00687E2A"/>
    <w:rsid w:val="00693DB6"/>
    <w:rsid w:val="006A645C"/>
    <w:rsid w:val="006B17D2"/>
    <w:rsid w:val="006C1463"/>
    <w:rsid w:val="006D0B3D"/>
    <w:rsid w:val="006D76D9"/>
    <w:rsid w:val="006E7E7B"/>
    <w:rsid w:val="006F3E2D"/>
    <w:rsid w:val="00713F1D"/>
    <w:rsid w:val="00726253"/>
    <w:rsid w:val="007322A5"/>
    <w:rsid w:val="00733152"/>
    <w:rsid w:val="0073530C"/>
    <w:rsid w:val="00735F73"/>
    <w:rsid w:val="00737AE6"/>
    <w:rsid w:val="007471FD"/>
    <w:rsid w:val="00752FDE"/>
    <w:rsid w:val="00757463"/>
    <w:rsid w:val="007A30A4"/>
    <w:rsid w:val="007A65D5"/>
    <w:rsid w:val="007D1621"/>
    <w:rsid w:val="007D2525"/>
    <w:rsid w:val="007D3A0B"/>
    <w:rsid w:val="007D7766"/>
    <w:rsid w:val="007E6730"/>
    <w:rsid w:val="007F5FE2"/>
    <w:rsid w:val="007F7806"/>
    <w:rsid w:val="008044B4"/>
    <w:rsid w:val="008128E2"/>
    <w:rsid w:val="0082301E"/>
    <w:rsid w:val="00825A47"/>
    <w:rsid w:val="00826AEC"/>
    <w:rsid w:val="0084127B"/>
    <w:rsid w:val="00842CCA"/>
    <w:rsid w:val="00845149"/>
    <w:rsid w:val="008456B3"/>
    <w:rsid w:val="00856211"/>
    <w:rsid w:val="00856D76"/>
    <w:rsid w:val="008572E8"/>
    <w:rsid w:val="008606CE"/>
    <w:rsid w:val="00861CF4"/>
    <w:rsid w:val="00863182"/>
    <w:rsid w:val="00865A13"/>
    <w:rsid w:val="00872B84"/>
    <w:rsid w:val="008943A5"/>
    <w:rsid w:val="008A0F90"/>
    <w:rsid w:val="008A1661"/>
    <w:rsid w:val="008B1E7F"/>
    <w:rsid w:val="008B6180"/>
    <w:rsid w:val="008C2489"/>
    <w:rsid w:val="008D2583"/>
    <w:rsid w:val="008E6069"/>
    <w:rsid w:val="009009BD"/>
    <w:rsid w:val="009052E2"/>
    <w:rsid w:val="009148B7"/>
    <w:rsid w:val="00927075"/>
    <w:rsid w:val="00953483"/>
    <w:rsid w:val="00960774"/>
    <w:rsid w:val="0097743B"/>
    <w:rsid w:val="009806B3"/>
    <w:rsid w:val="009862A0"/>
    <w:rsid w:val="009A370D"/>
    <w:rsid w:val="009A7FFD"/>
    <w:rsid w:val="009B72E3"/>
    <w:rsid w:val="009C3327"/>
    <w:rsid w:val="009C74DB"/>
    <w:rsid w:val="009E0B2A"/>
    <w:rsid w:val="009E1378"/>
    <w:rsid w:val="009F1F95"/>
    <w:rsid w:val="009F3F89"/>
    <w:rsid w:val="00A07063"/>
    <w:rsid w:val="00A07676"/>
    <w:rsid w:val="00A10293"/>
    <w:rsid w:val="00A22117"/>
    <w:rsid w:val="00A32EB2"/>
    <w:rsid w:val="00A346C3"/>
    <w:rsid w:val="00A3737B"/>
    <w:rsid w:val="00A526CE"/>
    <w:rsid w:val="00A7417E"/>
    <w:rsid w:val="00A7587D"/>
    <w:rsid w:val="00A802E4"/>
    <w:rsid w:val="00A805AD"/>
    <w:rsid w:val="00A8164D"/>
    <w:rsid w:val="00AA26E7"/>
    <w:rsid w:val="00AB2C7E"/>
    <w:rsid w:val="00AB5F7B"/>
    <w:rsid w:val="00AC60EA"/>
    <w:rsid w:val="00AC6784"/>
    <w:rsid w:val="00AD6ACF"/>
    <w:rsid w:val="00AF29F1"/>
    <w:rsid w:val="00AF5C7A"/>
    <w:rsid w:val="00B00CB0"/>
    <w:rsid w:val="00B05F7D"/>
    <w:rsid w:val="00B1037F"/>
    <w:rsid w:val="00B17FCF"/>
    <w:rsid w:val="00B17FDF"/>
    <w:rsid w:val="00B26C69"/>
    <w:rsid w:val="00B35446"/>
    <w:rsid w:val="00B35F3D"/>
    <w:rsid w:val="00B40CB3"/>
    <w:rsid w:val="00B42FB7"/>
    <w:rsid w:val="00B43552"/>
    <w:rsid w:val="00B55C2B"/>
    <w:rsid w:val="00B6131F"/>
    <w:rsid w:val="00B73DFF"/>
    <w:rsid w:val="00B74E57"/>
    <w:rsid w:val="00B77282"/>
    <w:rsid w:val="00B80689"/>
    <w:rsid w:val="00B941E8"/>
    <w:rsid w:val="00BA0BFF"/>
    <w:rsid w:val="00BB1E10"/>
    <w:rsid w:val="00BD12DE"/>
    <w:rsid w:val="00BD19E5"/>
    <w:rsid w:val="00BE15D5"/>
    <w:rsid w:val="00BE3674"/>
    <w:rsid w:val="00BF6D34"/>
    <w:rsid w:val="00C21DD0"/>
    <w:rsid w:val="00C312BC"/>
    <w:rsid w:val="00C404A2"/>
    <w:rsid w:val="00C40528"/>
    <w:rsid w:val="00C466B3"/>
    <w:rsid w:val="00C468D9"/>
    <w:rsid w:val="00C47246"/>
    <w:rsid w:val="00C51A62"/>
    <w:rsid w:val="00C5295F"/>
    <w:rsid w:val="00C57359"/>
    <w:rsid w:val="00C71114"/>
    <w:rsid w:val="00C717B6"/>
    <w:rsid w:val="00C86B26"/>
    <w:rsid w:val="00C913F7"/>
    <w:rsid w:val="00C92209"/>
    <w:rsid w:val="00CA04E1"/>
    <w:rsid w:val="00CA521F"/>
    <w:rsid w:val="00CA66BB"/>
    <w:rsid w:val="00CB3AAF"/>
    <w:rsid w:val="00CB563D"/>
    <w:rsid w:val="00CB5D29"/>
    <w:rsid w:val="00CC3C23"/>
    <w:rsid w:val="00CD1269"/>
    <w:rsid w:val="00CD3A10"/>
    <w:rsid w:val="00CE4D99"/>
    <w:rsid w:val="00CE5E6E"/>
    <w:rsid w:val="00CF601B"/>
    <w:rsid w:val="00D037A4"/>
    <w:rsid w:val="00D12D6B"/>
    <w:rsid w:val="00D13206"/>
    <w:rsid w:val="00D158E2"/>
    <w:rsid w:val="00D17CFD"/>
    <w:rsid w:val="00D23A41"/>
    <w:rsid w:val="00D349CD"/>
    <w:rsid w:val="00D42378"/>
    <w:rsid w:val="00D63E25"/>
    <w:rsid w:val="00D93623"/>
    <w:rsid w:val="00D942B3"/>
    <w:rsid w:val="00DA12A3"/>
    <w:rsid w:val="00DA28B5"/>
    <w:rsid w:val="00DB2FA2"/>
    <w:rsid w:val="00DC006B"/>
    <w:rsid w:val="00DC5BC5"/>
    <w:rsid w:val="00DD36CD"/>
    <w:rsid w:val="00DD439B"/>
    <w:rsid w:val="00DD45ED"/>
    <w:rsid w:val="00E034B2"/>
    <w:rsid w:val="00E05F23"/>
    <w:rsid w:val="00E23975"/>
    <w:rsid w:val="00E35509"/>
    <w:rsid w:val="00E65723"/>
    <w:rsid w:val="00E665B9"/>
    <w:rsid w:val="00E70143"/>
    <w:rsid w:val="00E740D0"/>
    <w:rsid w:val="00E76C49"/>
    <w:rsid w:val="00E77B48"/>
    <w:rsid w:val="00E8149E"/>
    <w:rsid w:val="00EC06BB"/>
    <w:rsid w:val="00EC1C54"/>
    <w:rsid w:val="00EC3A1F"/>
    <w:rsid w:val="00EC3F85"/>
    <w:rsid w:val="00EC7003"/>
    <w:rsid w:val="00ED53A0"/>
    <w:rsid w:val="00ED6882"/>
    <w:rsid w:val="00ED72F0"/>
    <w:rsid w:val="00EE12ED"/>
    <w:rsid w:val="00EF3F1E"/>
    <w:rsid w:val="00EF5B04"/>
    <w:rsid w:val="00F07CAC"/>
    <w:rsid w:val="00F21AAF"/>
    <w:rsid w:val="00F228F6"/>
    <w:rsid w:val="00F275B9"/>
    <w:rsid w:val="00F530B1"/>
    <w:rsid w:val="00F56115"/>
    <w:rsid w:val="00F6268F"/>
    <w:rsid w:val="00F6791B"/>
    <w:rsid w:val="00FC66B3"/>
    <w:rsid w:val="00FD0BDD"/>
    <w:rsid w:val="00FD1F5F"/>
    <w:rsid w:val="00FD30F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53CCC-B5E4-4F11-9E1D-4CFE8677A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73</cp:revision>
  <cp:lastPrinted>2020-02-10T07:45:00Z</cp:lastPrinted>
  <dcterms:created xsi:type="dcterms:W3CDTF">2020-01-31T05:59:00Z</dcterms:created>
  <dcterms:modified xsi:type="dcterms:W3CDTF">2021-01-18T13:20:00Z</dcterms:modified>
</cp:coreProperties>
</file>